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350"/>
        <w:gridCol w:w="1408"/>
        <w:gridCol w:w="1394"/>
        <w:gridCol w:w="2958"/>
        <w:gridCol w:w="3338"/>
        <w:gridCol w:w="3356"/>
      </w:tblGrid>
      <w:tr w:rsidR="007A79C1" w:rsidRPr="007A79C1" w14:paraId="20492E61" w14:textId="77777777" w:rsidTr="007A79C1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55A99CA3" w14:textId="77777777" w:rsidR="00AF7CB4" w:rsidRPr="007A79C1" w:rsidRDefault="00AF7CB4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6EB0F73" w14:textId="77777777" w:rsidR="00AF7CB4" w:rsidRPr="007A79C1" w:rsidRDefault="00AF7CB4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Key Research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2BCA0BE" w14:textId="77777777" w:rsidR="00AF7CB4" w:rsidRPr="007A79C1" w:rsidRDefault="00AF7CB4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Green Textbook page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96F7D6D" w14:textId="77777777" w:rsidR="00AF7CB4" w:rsidRPr="007A79C1" w:rsidRDefault="00AF7CB4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Issue #1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2BA7B9" w14:textId="77777777" w:rsidR="00AF7CB4" w:rsidRPr="007A79C1" w:rsidRDefault="00AF7CB4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Issue #2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CE380D" w14:textId="77777777" w:rsidR="00AF7CB4" w:rsidRPr="007A79C1" w:rsidRDefault="00AF7CB4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Issue #3</w:t>
            </w:r>
          </w:p>
        </w:tc>
      </w:tr>
      <w:tr w:rsidR="00B07430" w:rsidRPr="007A79C1" w14:paraId="533E1A25" w14:textId="77777777" w:rsidTr="007A79C1">
        <w:tc>
          <w:tcPr>
            <w:tcW w:w="0" w:type="auto"/>
            <w:shd w:val="clear" w:color="auto" w:fill="FFC000"/>
            <w:vAlign w:val="center"/>
          </w:tcPr>
          <w:p w14:paraId="3285090B" w14:textId="77777777" w:rsidR="00B07430" w:rsidRPr="007A79C1" w:rsidRDefault="00B07430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Historical views of mental illness </w:t>
            </w:r>
          </w:p>
        </w:tc>
        <w:tc>
          <w:tcPr>
            <w:tcW w:w="0" w:type="auto"/>
            <w:vAlign w:val="center"/>
          </w:tcPr>
          <w:p w14:paraId="34B8C19D" w14:textId="1A70716D" w:rsidR="00B07430" w:rsidRPr="007A79C1" w:rsidRDefault="00B07430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Rosenhan</w:t>
            </w:r>
          </w:p>
        </w:tc>
        <w:tc>
          <w:tcPr>
            <w:tcW w:w="0" w:type="auto"/>
            <w:vAlign w:val="center"/>
          </w:tcPr>
          <w:p w14:paraId="2EE87CFA" w14:textId="77777777" w:rsidR="00B07430" w:rsidRPr="007A79C1" w:rsidRDefault="00B07430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280F4D9A" w14:textId="5D43E5CF" w:rsidR="00B07430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Ethical </w:t>
            </w:r>
            <w:r w:rsidR="00907995" w:rsidRPr="007A79C1">
              <w:rPr>
                <w:rFonts w:ascii="Arial" w:hAnsi="Arial" w:cs="Arial"/>
                <w:sz w:val="20"/>
                <w:szCs w:val="20"/>
              </w:rPr>
              <w:t>considerations</w:t>
            </w:r>
          </w:p>
        </w:tc>
        <w:tc>
          <w:tcPr>
            <w:tcW w:w="0" w:type="auto"/>
            <w:vAlign w:val="center"/>
          </w:tcPr>
          <w:p w14:paraId="6E20CB0F" w14:textId="2398F2FC" w:rsidR="00B07430" w:rsidRPr="007A79C1" w:rsidRDefault="00907995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Field experiments lack control</w:t>
            </w:r>
          </w:p>
        </w:tc>
        <w:tc>
          <w:tcPr>
            <w:tcW w:w="0" w:type="auto"/>
            <w:vAlign w:val="center"/>
          </w:tcPr>
          <w:p w14:paraId="7B1AEE8A" w14:textId="6AF7FFE9" w:rsidR="00B07430" w:rsidRPr="007A79C1" w:rsidRDefault="007A79C1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Participant observations lack reliability</w:t>
            </w:r>
          </w:p>
        </w:tc>
      </w:tr>
      <w:tr w:rsidR="006F4648" w:rsidRPr="007A79C1" w14:paraId="67009512" w14:textId="77777777" w:rsidTr="007A79C1">
        <w:tc>
          <w:tcPr>
            <w:tcW w:w="0" w:type="auto"/>
            <w:shd w:val="clear" w:color="auto" w:fill="FFC000"/>
            <w:vAlign w:val="center"/>
          </w:tcPr>
          <w:p w14:paraId="107DDA95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Medical Model</w:t>
            </w:r>
          </w:p>
        </w:tc>
        <w:tc>
          <w:tcPr>
            <w:tcW w:w="0" w:type="auto"/>
            <w:vAlign w:val="center"/>
          </w:tcPr>
          <w:p w14:paraId="47373123" w14:textId="23C6E52D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Gottesman</w:t>
            </w:r>
            <w:proofErr w:type="spellEnd"/>
          </w:p>
        </w:tc>
        <w:tc>
          <w:tcPr>
            <w:tcW w:w="0" w:type="auto"/>
            <w:vAlign w:val="center"/>
          </w:tcPr>
          <w:p w14:paraId="2B64EF99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5A4878ED" w14:textId="6D247462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Correlations </w:t>
            </w:r>
            <w:proofErr w:type="gramStart"/>
            <w:r w:rsidRPr="007A79C1"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 w:rsidRPr="007A79C1">
              <w:rPr>
                <w:rFonts w:ascii="Arial" w:hAnsi="Arial" w:cs="Arial"/>
                <w:sz w:val="20"/>
                <w:szCs w:val="20"/>
              </w:rPr>
              <w:t xml:space="preserve"> show cause and effect</w:t>
            </w:r>
          </w:p>
        </w:tc>
        <w:tc>
          <w:tcPr>
            <w:tcW w:w="0" w:type="auto"/>
          </w:tcPr>
          <w:p w14:paraId="29540CB7" w14:textId="2A91BD41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Brain scans cannot be faked but the anxiety may affect the results</w:t>
            </w:r>
          </w:p>
        </w:tc>
        <w:tc>
          <w:tcPr>
            <w:tcW w:w="0" w:type="auto"/>
          </w:tcPr>
          <w:p w14:paraId="1878A28C" w14:textId="34161E96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Aetiological fallacy if just studying how the treatment works</w:t>
            </w:r>
          </w:p>
        </w:tc>
      </w:tr>
      <w:tr w:rsidR="006F4648" w:rsidRPr="007A79C1" w14:paraId="4076BB63" w14:textId="77777777" w:rsidTr="007A79C1">
        <w:tc>
          <w:tcPr>
            <w:tcW w:w="0" w:type="auto"/>
            <w:shd w:val="clear" w:color="auto" w:fill="FFC000"/>
            <w:vAlign w:val="center"/>
          </w:tcPr>
          <w:p w14:paraId="1C63C6EE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Alternatives to the Medical Model</w:t>
            </w:r>
          </w:p>
        </w:tc>
        <w:tc>
          <w:tcPr>
            <w:tcW w:w="0" w:type="auto"/>
            <w:vAlign w:val="center"/>
          </w:tcPr>
          <w:p w14:paraId="3AD367D0" w14:textId="2052B19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Szasz</w:t>
            </w:r>
          </w:p>
        </w:tc>
        <w:tc>
          <w:tcPr>
            <w:tcW w:w="0" w:type="auto"/>
            <w:vAlign w:val="center"/>
          </w:tcPr>
          <w:p w14:paraId="5B4257C0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14:paraId="1B2D3BA4" w14:textId="4F1BD55F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Ethnocentrism</w:t>
            </w:r>
          </w:p>
        </w:tc>
        <w:tc>
          <w:tcPr>
            <w:tcW w:w="0" w:type="auto"/>
          </w:tcPr>
          <w:p w14:paraId="3155C2B8" w14:textId="79D58236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Psychoanalysis and the psychodynamic explanations lack empirical evidence</w:t>
            </w:r>
          </w:p>
        </w:tc>
        <w:tc>
          <w:tcPr>
            <w:tcW w:w="0" w:type="auto"/>
          </w:tcPr>
          <w:p w14:paraId="421BD2E7" w14:textId="0EF1569E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Behaviourist treatments like flooding have ethical concerns</w:t>
            </w:r>
          </w:p>
        </w:tc>
      </w:tr>
      <w:tr w:rsidR="006F4648" w:rsidRPr="007A79C1" w14:paraId="504485DB" w14:textId="77777777" w:rsidTr="007A79C1">
        <w:tc>
          <w:tcPr>
            <w:tcW w:w="0" w:type="auto"/>
            <w:shd w:val="clear" w:color="auto" w:fill="CCFFCC"/>
            <w:vAlign w:val="center"/>
          </w:tcPr>
          <w:p w14:paraId="25FFAC25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Intelligence </w:t>
            </w:r>
          </w:p>
        </w:tc>
        <w:tc>
          <w:tcPr>
            <w:tcW w:w="0" w:type="auto"/>
            <w:vAlign w:val="center"/>
          </w:tcPr>
          <w:p w14:paraId="5C7BBF7D" w14:textId="6FC6C979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Van Leeuwen</w:t>
            </w:r>
          </w:p>
        </w:tc>
        <w:tc>
          <w:tcPr>
            <w:tcW w:w="0" w:type="auto"/>
            <w:vAlign w:val="center"/>
          </w:tcPr>
          <w:p w14:paraId="126DF328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14:paraId="1F1609B8" w14:textId="5B94AEC2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Correlations and case studies cannot separate nature and nurture </w:t>
            </w:r>
          </w:p>
        </w:tc>
        <w:tc>
          <w:tcPr>
            <w:tcW w:w="0" w:type="auto"/>
          </w:tcPr>
          <w:p w14:paraId="2B7F968F" w14:textId="72012DA1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IQ tests are self-reports – demand characteristics</w:t>
            </w:r>
          </w:p>
        </w:tc>
        <w:tc>
          <w:tcPr>
            <w:tcW w:w="0" w:type="auto"/>
          </w:tcPr>
          <w:p w14:paraId="58BFC710" w14:textId="32405B92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Self-reports allow you to identify WHY as well as WHAT</w:t>
            </w:r>
          </w:p>
        </w:tc>
      </w:tr>
      <w:tr w:rsidR="006F4648" w:rsidRPr="007A79C1" w14:paraId="6B8EB28B" w14:textId="77777777" w:rsidTr="007A79C1">
        <w:tc>
          <w:tcPr>
            <w:tcW w:w="0" w:type="auto"/>
            <w:shd w:val="clear" w:color="auto" w:fill="CCFFCC"/>
            <w:vAlign w:val="center"/>
          </w:tcPr>
          <w:p w14:paraId="6FD0029D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Pre-adult brain development </w:t>
            </w:r>
          </w:p>
        </w:tc>
        <w:tc>
          <w:tcPr>
            <w:tcW w:w="0" w:type="auto"/>
            <w:vAlign w:val="center"/>
          </w:tcPr>
          <w:p w14:paraId="1A013BFF" w14:textId="382C1088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Barkley-Levenson</w:t>
            </w:r>
          </w:p>
        </w:tc>
        <w:tc>
          <w:tcPr>
            <w:tcW w:w="0" w:type="auto"/>
            <w:vAlign w:val="center"/>
          </w:tcPr>
          <w:p w14:paraId="3C675BF6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643FBA4A" w14:textId="6A05C109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Brain scans cannot be faked but the anxiety may affect the results</w:t>
            </w:r>
          </w:p>
        </w:tc>
        <w:tc>
          <w:tcPr>
            <w:tcW w:w="0" w:type="auto"/>
          </w:tcPr>
          <w:p w14:paraId="7BDAA57C" w14:textId="79CB5DAB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Post-mortems cannot show cause and effect, just the effects</w:t>
            </w:r>
          </w:p>
        </w:tc>
        <w:tc>
          <w:tcPr>
            <w:tcW w:w="0" w:type="auto"/>
          </w:tcPr>
          <w:p w14:paraId="0E0B88E0" w14:textId="09D55C70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Longitudinal studies can show before and after, but not what exactly causes change</w:t>
            </w:r>
          </w:p>
        </w:tc>
      </w:tr>
      <w:tr w:rsidR="006F4648" w:rsidRPr="007A79C1" w14:paraId="646F7D41" w14:textId="77777777" w:rsidTr="007A79C1">
        <w:tc>
          <w:tcPr>
            <w:tcW w:w="0" w:type="auto"/>
            <w:shd w:val="clear" w:color="auto" w:fill="CCFFCC"/>
            <w:vAlign w:val="center"/>
          </w:tcPr>
          <w:p w14:paraId="5C646F09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Perceptual development </w:t>
            </w:r>
          </w:p>
        </w:tc>
        <w:tc>
          <w:tcPr>
            <w:tcW w:w="0" w:type="auto"/>
            <w:vAlign w:val="center"/>
          </w:tcPr>
          <w:p w14:paraId="1404A5E2" w14:textId="0D8308B3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Gibson &amp; Walk</w:t>
            </w:r>
          </w:p>
        </w:tc>
        <w:tc>
          <w:tcPr>
            <w:tcW w:w="0" w:type="auto"/>
            <w:vAlign w:val="center"/>
          </w:tcPr>
          <w:p w14:paraId="115C7B03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23E7E680" w14:textId="5947FD24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Animal experiments may not be generalizable to humans</w:t>
            </w:r>
          </w:p>
        </w:tc>
        <w:tc>
          <w:tcPr>
            <w:tcW w:w="0" w:type="auto"/>
          </w:tcPr>
          <w:p w14:paraId="12829020" w14:textId="39C740B8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0" w:type="auto"/>
          </w:tcPr>
          <w:p w14:paraId="35DFC403" w14:textId="2C0AA93D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</w:tr>
      <w:tr w:rsidR="006F4648" w:rsidRPr="007A79C1" w14:paraId="36DF19B3" w14:textId="77777777" w:rsidTr="007A79C1">
        <w:tc>
          <w:tcPr>
            <w:tcW w:w="0" w:type="auto"/>
            <w:shd w:val="clear" w:color="auto" w:fill="CCFFCC"/>
            <w:vAlign w:val="center"/>
          </w:tcPr>
          <w:p w14:paraId="24252279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Cognitive development &amp; education </w:t>
            </w:r>
          </w:p>
        </w:tc>
        <w:tc>
          <w:tcPr>
            <w:tcW w:w="0" w:type="auto"/>
            <w:vAlign w:val="center"/>
          </w:tcPr>
          <w:p w14:paraId="3FA83919" w14:textId="76F185F4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0" w:type="auto"/>
            <w:vAlign w:val="center"/>
          </w:tcPr>
          <w:p w14:paraId="33A35650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14:paraId="1C3319ED" w14:textId="300B4D32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0" w:type="auto"/>
          </w:tcPr>
          <w:p w14:paraId="6F764AEC" w14:textId="3C9D4E4E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  <w:tc>
          <w:tcPr>
            <w:tcW w:w="0" w:type="auto"/>
          </w:tcPr>
          <w:p w14:paraId="282537EC" w14:textId="79D1E9B0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Ethnocentric as how education is done is culture specific</w:t>
            </w:r>
          </w:p>
        </w:tc>
      </w:tr>
      <w:tr w:rsidR="006F4648" w:rsidRPr="007A79C1" w14:paraId="37066DFF" w14:textId="77777777" w:rsidTr="007A79C1">
        <w:tc>
          <w:tcPr>
            <w:tcW w:w="0" w:type="auto"/>
            <w:shd w:val="clear" w:color="auto" w:fill="CCFFCC"/>
            <w:vAlign w:val="center"/>
          </w:tcPr>
          <w:p w14:paraId="27E9AE03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Development of Attachment </w:t>
            </w:r>
          </w:p>
        </w:tc>
        <w:tc>
          <w:tcPr>
            <w:tcW w:w="0" w:type="auto"/>
            <w:vAlign w:val="center"/>
          </w:tcPr>
          <w:p w14:paraId="4AC57597" w14:textId="2AACD40F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Ainsworth &amp; Bell</w:t>
            </w:r>
          </w:p>
        </w:tc>
        <w:tc>
          <w:tcPr>
            <w:tcW w:w="0" w:type="auto"/>
            <w:vAlign w:val="center"/>
          </w:tcPr>
          <w:p w14:paraId="143D0D28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052E6F35" w14:textId="04FEFF99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0" w:type="auto"/>
          </w:tcPr>
          <w:p w14:paraId="616CF628" w14:textId="45A05165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  <w:tc>
          <w:tcPr>
            <w:tcW w:w="0" w:type="auto"/>
          </w:tcPr>
          <w:p w14:paraId="2C2C3553" w14:textId="325F6E1A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Ethnocentric as the Strange Situation is culture specific</w:t>
            </w:r>
          </w:p>
        </w:tc>
      </w:tr>
      <w:tr w:rsidR="006F4648" w:rsidRPr="007A79C1" w14:paraId="18635937" w14:textId="77777777" w:rsidTr="007A79C1">
        <w:tc>
          <w:tcPr>
            <w:tcW w:w="0" w:type="auto"/>
            <w:shd w:val="clear" w:color="auto" w:fill="CCFFCC"/>
            <w:vAlign w:val="center"/>
          </w:tcPr>
          <w:p w14:paraId="0CB695FF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Impact of advertising on children </w:t>
            </w:r>
          </w:p>
        </w:tc>
        <w:tc>
          <w:tcPr>
            <w:tcW w:w="0" w:type="auto"/>
            <w:vAlign w:val="center"/>
          </w:tcPr>
          <w:p w14:paraId="53A5209E" w14:textId="43500503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Johnson &amp; Young</w:t>
            </w:r>
          </w:p>
        </w:tc>
        <w:tc>
          <w:tcPr>
            <w:tcW w:w="0" w:type="auto"/>
            <w:vAlign w:val="center"/>
          </w:tcPr>
          <w:p w14:paraId="00E12418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14:paraId="58326643" w14:textId="120FB031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Ethnocentric </w:t>
            </w:r>
          </w:p>
        </w:tc>
        <w:tc>
          <w:tcPr>
            <w:tcW w:w="0" w:type="auto"/>
          </w:tcPr>
          <w:p w14:paraId="208A055D" w14:textId="7EE70BFB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Correlations </w:t>
            </w:r>
            <w:proofErr w:type="gramStart"/>
            <w:r w:rsidRPr="007A79C1"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 w:rsidRPr="007A79C1">
              <w:rPr>
                <w:rFonts w:ascii="Arial" w:hAnsi="Arial" w:cs="Arial"/>
                <w:sz w:val="20"/>
                <w:szCs w:val="20"/>
              </w:rPr>
              <w:t xml:space="preserve"> show cause and effect</w:t>
            </w:r>
          </w:p>
        </w:tc>
        <w:tc>
          <w:tcPr>
            <w:tcW w:w="0" w:type="auto"/>
          </w:tcPr>
          <w:p w14:paraId="69FC8ABD" w14:textId="00C3A7A1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Case Studies can be idiographic</w:t>
            </w:r>
          </w:p>
        </w:tc>
      </w:tr>
      <w:tr w:rsidR="006F4648" w:rsidRPr="007A79C1" w14:paraId="1EA37001" w14:textId="77777777" w:rsidTr="007A79C1">
        <w:tc>
          <w:tcPr>
            <w:tcW w:w="0" w:type="auto"/>
            <w:shd w:val="clear" w:color="auto" w:fill="CCFFFF"/>
            <w:vAlign w:val="center"/>
          </w:tcPr>
          <w:p w14:paraId="366263AE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What makes a criminal?  </w:t>
            </w:r>
          </w:p>
        </w:tc>
        <w:tc>
          <w:tcPr>
            <w:tcW w:w="0" w:type="auto"/>
            <w:vAlign w:val="center"/>
          </w:tcPr>
          <w:p w14:paraId="7796D5BC" w14:textId="7E2CA6D4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Raine</w:t>
            </w:r>
          </w:p>
        </w:tc>
        <w:tc>
          <w:tcPr>
            <w:tcW w:w="0" w:type="auto"/>
            <w:vAlign w:val="center"/>
          </w:tcPr>
          <w:p w14:paraId="70929118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14:paraId="41D5330A" w14:textId="6D02804F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Correlations </w:t>
            </w:r>
            <w:proofErr w:type="gramStart"/>
            <w:r w:rsidRPr="007A79C1"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 w:rsidRPr="007A79C1">
              <w:rPr>
                <w:rFonts w:ascii="Arial" w:hAnsi="Arial" w:cs="Arial"/>
                <w:sz w:val="20"/>
                <w:szCs w:val="20"/>
              </w:rPr>
              <w:t xml:space="preserve"> show cause and effect</w:t>
            </w:r>
          </w:p>
        </w:tc>
        <w:tc>
          <w:tcPr>
            <w:tcW w:w="0" w:type="auto"/>
          </w:tcPr>
          <w:p w14:paraId="2B13E113" w14:textId="14015914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Brain scans cannot be faked but the anxiety may affect the results</w:t>
            </w:r>
          </w:p>
        </w:tc>
        <w:tc>
          <w:tcPr>
            <w:tcW w:w="0" w:type="auto"/>
          </w:tcPr>
          <w:p w14:paraId="34AE5298" w14:textId="12C31562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Volunteer samples may be biased</w:t>
            </w:r>
          </w:p>
        </w:tc>
      </w:tr>
      <w:tr w:rsidR="006F4648" w:rsidRPr="007A79C1" w14:paraId="1A8D02EF" w14:textId="77777777" w:rsidTr="007A79C1">
        <w:tc>
          <w:tcPr>
            <w:tcW w:w="0" w:type="auto"/>
            <w:shd w:val="clear" w:color="auto" w:fill="CCFFFF"/>
            <w:vAlign w:val="center"/>
          </w:tcPr>
          <w:p w14:paraId="7F0CA795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Collection and processing of forensic evidence </w:t>
            </w:r>
          </w:p>
        </w:tc>
        <w:tc>
          <w:tcPr>
            <w:tcW w:w="0" w:type="auto"/>
            <w:vAlign w:val="center"/>
          </w:tcPr>
          <w:p w14:paraId="2385FB70" w14:textId="66BC2428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Hall and Player</w:t>
            </w:r>
          </w:p>
        </w:tc>
        <w:tc>
          <w:tcPr>
            <w:tcW w:w="0" w:type="auto"/>
            <w:vAlign w:val="center"/>
          </w:tcPr>
          <w:p w14:paraId="660BB859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14:paraId="6AAC252B" w14:textId="6117FE28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0" w:type="auto"/>
          </w:tcPr>
          <w:p w14:paraId="691ABF9B" w14:textId="707E2F2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  <w:tc>
          <w:tcPr>
            <w:tcW w:w="0" w:type="auto"/>
          </w:tcPr>
          <w:p w14:paraId="4235871C" w14:textId="33E3D73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Self-reports allow you to identify WHY as well as WHAT</w:t>
            </w:r>
          </w:p>
        </w:tc>
      </w:tr>
      <w:tr w:rsidR="006F4648" w:rsidRPr="007A79C1" w14:paraId="79B3F642" w14:textId="77777777" w:rsidTr="007A79C1">
        <w:tc>
          <w:tcPr>
            <w:tcW w:w="0" w:type="auto"/>
            <w:shd w:val="clear" w:color="auto" w:fill="CCFFFF"/>
            <w:vAlign w:val="center"/>
          </w:tcPr>
          <w:p w14:paraId="2EB6426C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Collection of evidence </w:t>
            </w:r>
          </w:p>
        </w:tc>
        <w:tc>
          <w:tcPr>
            <w:tcW w:w="0" w:type="auto"/>
            <w:vAlign w:val="center"/>
          </w:tcPr>
          <w:p w14:paraId="211EFA89" w14:textId="015E3B3B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Memon</w:t>
            </w:r>
            <w:proofErr w:type="spellEnd"/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Higham</w:t>
            </w:r>
          </w:p>
        </w:tc>
        <w:tc>
          <w:tcPr>
            <w:tcW w:w="0" w:type="auto"/>
            <w:vAlign w:val="center"/>
          </w:tcPr>
          <w:p w14:paraId="3C7E1051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14:paraId="4B44D641" w14:textId="6F76F89D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Ethnocentrism – cultural differences</w:t>
            </w:r>
          </w:p>
        </w:tc>
        <w:tc>
          <w:tcPr>
            <w:tcW w:w="0" w:type="auto"/>
          </w:tcPr>
          <w:p w14:paraId="2ADC6BDC" w14:textId="422C99B1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0" w:type="auto"/>
          </w:tcPr>
          <w:p w14:paraId="65228E24" w14:textId="4411027A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</w:tr>
      <w:tr w:rsidR="006F4648" w:rsidRPr="007A79C1" w14:paraId="1DD16D44" w14:textId="77777777" w:rsidTr="007A79C1">
        <w:tc>
          <w:tcPr>
            <w:tcW w:w="0" w:type="auto"/>
            <w:shd w:val="clear" w:color="auto" w:fill="CCFFFF"/>
            <w:vAlign w:val="center"/>
          </w:tcPr>
          <w:p w14:paraId="07FB337F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Courtroom </w:t>
            </w:r>
          </w:p>
        </w:tc>
        <w:tc>
          <w:tcPr>
            <w:tcW w:w="0" w:type="auto"/>
            <w:vAlign w:val="center"/>
          </w:tcPr>
          <w:p w14:paraId="4AF349CE" w14:textId="5AC41042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0" w:type="auto"/>
            <w:vAlign w:val="center"/>
          </w:tcPr>
          <w:p w14:paraId="7263464A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14:paraId="658C78A5" w14:textId="5B98E0BB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0" w:type="auto"/>
          </w:tcPr>
          <w:p w14:paraId="58FD4435" w14:textId="12F23AAE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  <w:tc>
          <w:tcPr>
            <w:tcW w:w="0" w:type="auto"/>
          </w:tcPr>
          <w:p w14:paraId="072E7F2C" w14:textId="71C1E965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Samples are usually Psychology / Law students</w:t>
            </w:r>
          </w:p>
        </w:tc>
      </w:tr>
      <w:tr w:rsidR="006F4648" w:rsidRPr="007A79C1" w14:paraId="5D3F980E" w14:textId="77777777" w:rsidTr="007A79C1">
        <w:tc>
          <w:tcPr>
            <w:tcW w:w="0" w:type="auto"/>
            <w:shd w:val="clear" w:color="auto" w:fill="CCFFFF"/>
            <w:vAlign w:val="center"/>
          </w:tcPr>
          <w:p w14:paraId="0659789D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Crime prevention </w:t>
            </w:r>
          </w:p>
        </w:tc>
        <w:tc>
          <w:tcPr>
            <w:tcW w:w="0" w:type="auto"/>
            <w:vAlign w:val="center"/>
          </w:tcPr>
          <w:p w14:paraId="3174C746" w14:textId="4C8BE284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Wilson and Kelling</w:t>
            </w:r>
          </w:p>
        </w:tc>
        <w:tc>
          <w:tcPr>
            <w:tcW w:w="0" w:type="auto"/>
            <w:vAlign w:val="center"/>
          </w:tcPr>
          <w:p w14:paraId="680D90A9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14:paraId="6B738121" w14:textId="3723ACC5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Ethnocentric </w:t>
            </w:r>
          </w:p>
        </w:tc>
        <w:tc>
          <w:tcPr>
            <w:tcW w:w="0" w:type="auto"/>
          </w:tcPr>
          <w:p w14:paraId="492DB1BE" w14:textId="6EA7DCC0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Correlations </w:t>
            </w:r>
            <w:proofErr w:type="gramStart"/>
            <w:r w:rsidRPr="007A79C1"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 w:rsidRPr="007A79C1">
              <w:rPr>
                <w:rFonts w:ascii="Arial" w:hAnsi="Arial" w:cs="Arial"/>
                <w:sz w:val="20"/>
                <w:szCs w:val="20"/>
              </w:rPr>
              <w:t xml:space="preserve"> show cause and effect</w:t>
            </w:r>
          </w:p>
        </w:tc>
        <w:tc>
          <w:tcPr>
            <w:tcW w:w="0" w:type="auto"/>
          </w:tcPr>
          <w:p w14:paraId="7908AF72" w14:textId="38CCB420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Case Studies can be idiographic</w:t>
            </w:r>
          </w:p>
        </w:tc>
      </w:tr>
      <w:tr w:rsidR="006F4648" w:rsidRPr="007A79C1" w14:paraId="7914AB68" w14:textId="77777777" w:rsidTr="007A79C1">
        <w:tc>
          <w:tcPr>
            <w:tcW w:w="0" w:type="auto"/>
            <w:shd w:val="clear" w:color="auto" w:fill="CCFFFF"/>
            <w:vAlign w:val="center"/>
          </w:tcPr>
          <w:p w14:paraId="6BB943CC" w14:textId="77777777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Effect of imprisonment </w:t>
            </w:r>
          </w:p>
        </w:tc>
        <w:tc>
          <w:tcPr>
            <w:tcW w:w="0" w:type="auto"/>
            <w:vAlign w:val="center"/>
          </w:tcPr>
          <w:p w14:paraId="3D6AECD5" w14:textId="2EB0AC3D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color w:val="000000"/>
                <w:sz w:val="20"/>
                <w:szCs w:val="20"/>
              </w:rPr>
              <w:t>Haney</w:t>
            </w:r>
          </w:p>
        </w:tc>
        <w:tc>
          <w:tcPr>
            <w:tcW w:w="0" w:type="auto"/>
            <w:vAlign w:val="center"/>
          </w:tcPr>
          <w:p w14:paraId="4A0C8DCE" w14:textId="77777777" w:rsidR="006F4648" w:rsidRPr="007A79C1" w:rsidRDefault="006F4648" w:rsidP="007A7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14:paraId="5EA8FD4A" w14:textId="20270B90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Ethnocentric </w:t>
            </w:r>
          </w:p>
        </w:tc>
        <w:tc>
          <w:tcPr>
            <w:tcW w:w="0" w:type="auto"/>
          </w:tcPr>
          <w:p w14:paraId="1409D77A" w14:textId="14F36849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 xml:space="preserve">Correlations </w:t>
            </w:r>
            <w:proofErr w:type="gramStart"/>
            <w:r w:rsidRPr="007A79C1"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 w:rsidRPr="007A79C1">
              <w:rPr>
                <w:rFonts w:ascii="Arial" w:hAnsi="Arial" w:cs="Arial"/>
                <w:sz w:val="20"/>
                <w:szCs w:val="20"/>
              </w:rPr>
              <w:t xml:space="preserve"> show cause and effect</w:t>
            </w:r>
          </w:p>
        </w:tc>
        <w:tc>
          <w:tcPr>
            <w:tcW w:w="0" w:type="auto"/>
          </w:tcPr>
          <w:p w14:paraId="589C23C2" w14:textId="58F46B3F" w:rsidR="006F4648" w:rsidRPr="007A79C1" w:rsidRDefault="006F4648" w:rsidP="007A79C1">
            <w:pPr>
              <w:rPr>
                <w:rFonts w:ascii="Arial" w:hAnsi="Arial" w:cs="Arial"/>
                <w:sz w:val="20"/>
                <w:szCs w:val="20"/>
              </w:rPr>
            </w:pPr>
            <w:r w:rsidRPr="007A79C1">
              <w:rPr>
                <w:rFonts w:ascii="Arial" w:hAnsi="Arial" w:cs="Arial"/>
                <w:sz w:val="20"/>
                <w:szCs w:val="20"/>
              </w:rPr>
              <w:t>Case Studies can be idiographic</w:t>
            </w:r>
          </w:p>
        </w:tc>
      </w:tr>
    </w:tbl>
    <w:p w14:paraId="2311AB7C" w14:textId="77777777" w:rsidR="003E337B" w:rsidRPr="007A79C1" w:rsidRDefault="003E337B" w:rsidP="007A79C1">
      <w:pPr>
        <w:rPr>
          <w:rFonts w:ascii="Arial" w:hAnsi="Arial" w:cs="Arial"/>
          <w:sz w:val="20"/>
          <w:szCs w:val="20"/>
        </w:rPr>
      </w:pPr>
    </w:p>
    <w:sectPr w:rsidR="003E337B" w:rsidRPr="007A79C1" w:rsidSect="00AF7C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B4"/>
    <w:rsid w:val="0024689A"/>
    <w:rsid w:val="003E337B"/>
    <w:rsid w:val="0043435C"/>
    <w:rsid w:val="004F0AAB"/>
    <w:rsid w:val="006F4648"/>
    <w:rsid w:val="007A79C1"/>
    <w:rsid w:val="00807059"/>
    <w:rsid w:val="00907995"/>
    <w:rsid w:val="00AF7CB4"/>
    <w:rsid w:val="00B07430"/>
    <w:rsid w:val="00DD0AA4"/>
    <w:rsid w:val="00F3670F"/>
    <w:rsid w:val="00F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44E9"/>
  <w15:chartTrackingRefBased/>
  <w15:docId w15:val="{05BF40D9-2058-4DFF-BFD0-6FEBBCD6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Evagora V (Staff)</cp:lastModifiedBy>
  <cp:revision>10</cp:revision>
  <dcterms:created xsi:type="dcterms:W3CDTF">2020-09-03T05:02:00Z</dcterms:created>
  <dcterms:modified xsi:type="dcterms:W3CDTF">2020-09-03T05:13:00Z</dcterms:modified>
</cp:coreProperties>
</file>