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735" w:type="dxa"/>
        <w:tblLayout w:type="fixed"/>
        <w:tblLook w:val="01E0" w:firstRow="1" w:lastRow="1" w:firstColumn="1" w:lastColumn="1" w:noHBand="0" w:noVBand="0"/>
      </w:tblPr>
      <w:tblGrid>
        <w:gridCol w:w="1843"/>
        <w:gridCol w:w="567"/>
        <w:gridCol w:w="13325"/>
      </w:tblGrid>
      <w:tr w:rsidR="00B9770A" w:rsidRPr="00B9770A" w14:paraId="252322EE" w14:textId="77777777" w:rsidTr="00E53108">
        <w:trPr>
          <w:tblHeader/>
        </w:trPr>
        <w:tc>
          <w:tcPr>
            <w:tcW w:w="1843" w:type="dxa"/>
          </w:tcPr>
          <w:p w14:paraId="252322EB" w14:textId="77777777" w:rsidR="00B9770A" w:rsidRPr="00B9770A" w:rsidRDefault="00B9770A" w:rsidP="001F1F2B">
            <w:pPr>
              <w:rPr>
                <w:sz w:val="16"/>
                <w:szCs w:val="16"/>
              </w:rPr>
            </w:pPr>
            <w:r w:rsidRPr="00B9770A">
              <w:rPr>
                <w:sz w:val="16"/>
                <w:szCs w:val="16"/>
              </w:rPr>
              <w:t>Core Study</w:t>
            </w:r>
          </w:p>
        </w:tc>
        <w:tc>
          <w:tcPr>
            <w:tcW w:w="567" w:type="dxa"/>
            <w:vAlign w:val="center"/>
          </w:tcPr>
          <w:p w14:paraId="252322EC" w14:textId="77777777" w:rsidR="00B9770A" w:rsidRPr="00B9770A" w:rsidRDefault="00B9770A" w:rsidP="00E53108">
            <w:pPr>
              <w:jc w:val="center"/>
              <w:rPr>
                <w:sz w:val="16"/>
                <w:szCs w:val="16"/>
              </w:rPr>
            </w:pPr>
            <w:r w:rsidRPr="00B9770A">
              <w:rPr>
                <w:sz w:val="16"/>
                <w:szCs w:val="16"/>
              </w:rPr>
              <w:t>Area</w:t>
            </w:r>
          </w:p>
        </w:tc>
        <w:tc>
          <w:tcPr>
            <w:tcW w:w="13325" w:type="dxa"/>
          </w:tcPr>
          <w:p w14:paraId="252322ED" w14:textId="77777777" w:rsidR="00B9770A" w:rsidRPr="00B9770A" w:rsidRDefault="00B9770A" w:rsidP="001F1F2B">
            <w:pPr>
              <w:rPr>
                <w:sz w:val="16"/>
                <w:szCs w:val="16"/>
              </w:rPr>
            </w:pPr>
            <w:r w:rsidRPr="00B9770A">
              <w:rPr>
                <w:sz w:val="16"/>
                <w:szCs w:val="16"/>
              </w:rPr>
              <w:t>Link to Area</w:t>
            </w:r>
          </w:p>
        </w:tc>
      </w:tr>
      <w:tr w:rsidR="00B9770A" w:rsidRPr="00B9770A" w14:paraId="252322F2" w14:textId="77777777" w:rsidTr="001F7F48">
        <w:trPr>
          <w:trHeight w:val="736"/>
        </w:trPr>
        <w:tc>
          <w:tcPr>
            <w:tcW w:w="1843" w:type="dxa"/>
            <w:shd w:val="clear" w:color="auto" w:fill="99FF99"/>
            <w:vAlign w:val="center"/>
          </w:tcPr>
          <w:p w14:paraId="252322EF" w14:textId="77777777" w:rsidR="00B9770A" w:rsidRPr="00B9770A" w:rsidRDefault="00B9770A" w:rsidP="00E53108">
            <w:pPr>
              <w:rPr>
                <w:sz w:val="16"/>
                <w:szCs w:val="16"/>
              </w:rPr>
            </w:pPr>
            <w:r w:rsidRPr="00B9770A">
              <w:rPr>
                <w:sz w:val="16"/>
                <w:szCs w:val="16"/>
              </w:rPr>
              <w:t>Milgram (1963) Obedience</w:t>
            </w:r>
          </w:p>
        </w:tc>
        <w:tc>
          <w:tcPr>
            <w:tcW w:w="567" w:type="dxa"/>
            <w:vMerge w:val="restart"/>
            <w:shd w:val="clear" w:color="auto" w:fill="99FF99"/>
            <w:textDirection w:val="btLr"/>
            <w:vAlign w:val="center"/>
          </w:tcPr>
          <w:p w14:paraId="252322F0" w14:textId="77777777" w:rsidR="00B9770A" w:rsidRPr="00B9770A" w:rsidRDefault="00B9770A" w:rsidP="00E53108">
            <w:pPr>
              <w:ind w:left="113" w:right="113"/>
              <w:jc w:val="center"/>
              <w:rPr>
                <w:sz w:val="16"/>
                <w:szCs w:val="16"/>
              </w:rPr>
            </w:pPr>
            <w:r w:rsidRPr="00B9770A">
              <w:rPr>
                <w:sz w:val="16"/>
                <w:szCs w:val="16"/>
              </w:rPr>
              <w:t>Social</w:t>
            </w:r>
          </w:p>
        </w:tc>
        <w:tc>
          <w:tcPr>
            <w:tcW w:w="13325" w:type="dxa"/>
            <w:shd w:val="clear" w:color="auto" w:fill="99FF99"/>
            <w:vAlign w:val="center"/>
          </w:tcPr>
          <w:p w14:paraId="252322F1" w14:textId="77777777" w:rsidR="00B9770A" w:rsidRPr="00B9770A" w:rsidRDefault="00B9770A" w:rsidP="00E53108">
            <w:pPr>
              <w:rPr>
                <w:sz w:val="16"/>
                <w:szCs w:val="16"/>
              </w:rPr>
            </w:pPr>
            <w:r w:rsidRPr="00B9770A">
              <w:rPr>
                <w:sz w:val="16"/>
                <w:szCs w:val="16"/>
              </w:rPr>
              <w:t xml:space="preserve">Social approach because the results show how pressure from another person could lead people to administer potentially fatal electric shocks to another individual and how they could be led to do this </w:t>
            </w:r>
            <w:proofErr w:type="gramStart"/>
            <w:r w:rsidRPr="00B9770A">
              <w:rPr>
                <w:sz w:val="16"/>
                <w:szCs w:val="16"/>
              </w:rPr>
              <w:t>in spite of</w:t>
            </w:r>
            <w:proofErr w:type="gramEnd"/>
            <w:r w:rsidRPr="00B9770A">
              <w:rPr>
                <w:sz w:val="16"/>
                <w:szCs w:val="16"/>
              </w:rPr>
              <w:t xml:space="preserve"> their evident discomfort. Included because of the importance of its subject matter and because of the way in which it inspired so much other research </w:t>
            </w:r>
            <w:proofErr w:type="gramStart"/>
            <w:r w:rsidRPr="00B9770A">
              <w:rPr>
                <w:sz w:val="16"/>
                <w:szCs w:val="16"/>
              </w:rPr>
              <w:t>in the area of</w:t>
            </w:r>
            <w:proofErr w:type="gramEnd"/>
            <w:r w:rsidRPr="00B9770A">
              <w:rPr>
                <w:sz w:val="16"/>
                <w:szCs w:val="16"/>
              </w:rPr>
              <w:t xml:space="preserve"> obedience. Furthermore, Milgram </w:t>
            </w:r>
            <w:proofErr w:type="spellStart"/>
            <w:r w:rsidRPr="00B9770A">
              <w:rPr>
                <w:sz w:val="16"/>
                <w:szCs w:val="16"/>
              </w:rPr>
              <w:t>emphasised</w:t>
            </w:r>
            <w:proofErr w:type="spellEnd"/>
            <w:r w:rsidRPr="00B9770A">
              <w:rPr>
                <w:sz w:val="16"/>
                <w:szCs w:val="16"/>
              </w:rPr>
              <w:t xml:space="preserve"> situational rather than individual explanations.</w:t>
            </w:r>
          </w:p>
        </w:tc>
      </w:tr>
      <w:tr w:rsidR="00B9770A" w:rsidRPr="00B9770A" w14:paraId="252322F7" w14:textId="77777777" w:rsidTr="001F7F48">
        <w:trPr>
          <w:trHeight w:val="736"/>
        </w:trPr>
        <w:tc>
          <w:tcPr>
            <w:tcW w:w="1843" w:type="dxa"/>
            <w:shd w:val="clear" w:color="auto" w:fill="99FF99"/>
            <w:vAlign w:val="center"/>
          </w:tcPr>
          <w:p w14:paraId="252322F3" w14:textId="77777777" w:rsidR="00B9770A" w:rsidRPr="00B9770A" w:rsidRDefault="00B9770A" w:rsidP="00E53108">
            <w:pPr>
              <w:rPr>
                <w:sz w:val="16"/>
                <w:szCs w:val="16"/>
              </w:rPr>
            </w:pPr>
            <w:proofErr w:type="spellStart"/>
            <w:r w:rsidRPr="00B9770A">
              <w:rPr>
                <w:sz w:val="16"/>
                <w:szCs w:val="16"/>
              </w:rPr>
              <w:t>Bocchiaro</w:t>
            </w:r>
            <w:proofErr w:type="spellEnd"/>
            <w:r w:rsidRPr="00B9770A">
              <w:rPr>
                <w:sz w:val="16"/>
                <w:szCs w:val="16"/>
              </w:rPr>
              <w:t xml:space="preserve"> (2012)</w:t>
            </w:r>
          </w:p>
          <w:p w14:paraId="252322F4" w14:textId="77777777" w:rsidR="00B9770A" w:rsidRPr="00B9770A" w:rsidRDefault="00B9770A" w:rsidP="00E53108">
            <w:pPr>
              <w:rPr>
                <w:sz w:val="16"/>
                <w:szCs w:val="16"/>
              </w:rPr>
            </w:pPr>
            <w:r w:rsidRPr="00B9770A">
              <w:rPr>
                <w:sz w:val="16"/>
                <w:szCs w:val="16"/>
              </w:rPr>
              <w:t>Disobedience and whistle- blowing</w:t>
            </w:r>
          </w:p>
        </w:tc>
        <w:tc>
          <w:tcPr>
            <w:tcW w:w="567" w:type="dxa"/>
            <w:vMerge/>
            <w:shd w:val="clear" w:color="auto" w:fill="99FF99"/>
            <w:textDirection w:val="btLr"/>
            <w:vAlign w:val="center"/>
          </w:tcPr>
          <w:p w14:paraId="252322F5" w14:textId="77777777" w:rsidR="00B9770A" w:rsidRPr="00B9770A" w:rsidRDefault="00B9770A" w:rsidP="00E53108">
            <w:pPr>
              <w:ind w:left="113" w:right="113"/>
              <w:jc w:val="center"/>
              <w:rPr>
                <w:sz w:val="16"/>
                <w:szCs w:val="16"/>
              </w:rPr>
            </w:pPr>
          </w:p>
        </w:tc>
        <w:tc>
          <w:tcPr>
            <w:tcW w:w="13325" w:type="dxa"/>
            <w:shd w:val="clear" w:color="auto" w:fill="99FF99"/>
            <w:vAlign w:val="center"/>
          </w:tcPr>
          <w:p w14:paraId="252322F6" w14:textId="77777777" w:rsidR="00B9770A" w:rsidRPr="00B9770A" w:rsidRDefault="00B9770A" w:rsidP="00E53108">
            <w:pPr>
              <w:rPr>
                <w:sz w:val="16"/>
                <w:szCs w:val="16"/>
              </w:rPr>
            </w:pPr>
            <w:r w:rsidRPr="00B9770A">
              <w:rPr>
                <w:sz w:val="16"/>
                <w:szCs w:val="16"/>
              </w:rPr>
              <w:t xml:space="preserve">A study which sought to develop a new way to investigate obedience experimentally. </w:t>
            </w:r>
            <w:proofErr w:type="gramStart"/>
            <w:r w:rsidRPr="00B9770A">
              <w:rPr>
                <w:sz w:val="16"/>
                <w:szCs w:val="16"/>
              </w:rPr>
              <w:t>Similar to</w:t>
            </w:r>
            <w:proofErr w:type="gramEnd"/>
            <w:r w:rsidRPr="00B9770A">
              <w:rPr>
                <w:sz w:val="16"/>
                <w:szCs w:val="16"/>
              </w:rPr>
              <w:t xml:space="preserve"> Milgram in revealing high levels of obedience, but a good contrast in that this study was conducted in the Netherlands; as it also sought to investigate if there were any personality differences distinguishing those who were obedient, disobedient or prepared to be whistle-blowers, it challenges a purely social approach to explaining </w:t>
            </w:r>
            <w:proofErr w:type="spellStart"/>
            <w:r w:rsidRPr="00B9770A">
              <w:rPr>
                <w:sz w:val="16"/>
                <w:szCs w:val="16"/>
              </w:rPr>
              <w:t>behaviour</w:t>
            </w:r>
            <w:proofErr w:type="spellEnd"/>
            <w:r w:rsidRPr="00B9770A">
              <w:rPr>
                <w:sz w:val="16"/>
                <w:szCs w:val="16"/>
              </w:rPr>
              <w:t xml:space="preserve"> and does consider individual explanations.</w:t>
            </w:r>
          </w:p>
        </w:tc>
      </w:tr>
      <w:tr w:rsidR="00B9770A" w:rsidRPr="00B9770A" w14:paraId="252322FC" w14:textId="77777777" w:rsidTr="001F7F48">
        <w:trPr>
          <w:trHeight w:val="736"/>
        </w:trPr>
        <w:tc>
          <w:tcPr>
            <w:tcW w:w="1843" w:type="dxa"/>
            <w:shd w:val="clear" w:color="auto" w:fill="99FF99"/>
            <w:vAlign w:val="center"/>
          </w:tcPr>
          <w:p w14:paraId="252322F8" w14:textId="77777777" w:rsidR="00B9770A" w:rsidRPr="00B9770A" w:rsidRDefault="00B9770A" w:rsidP="00E53108">
            <w:pPr>
              <w:rPr>
                <w:sz w:val="16"/>
                <w:szCs w:val="16"/>
              </w:rPr>
            </w:pPr>
            <w:proofErr w:type="spellStart"/>
            <w:r w:rsidRPr="00B9770A">
              <w:rPr>
                <w:sz w:val="16"/>
                <w:szCs w:val="16"/>
              </w:rPr>
              <w:t>Piliavin</w:t>
            </w:r>
            <w:proofErr w:type="spellEnd"/>
            <w:r w:rsidRPr="00B9770A">
              <w:rPr>
                <w:sz w:val="16"/>
                <w:szCs w:val="16"/>
              </w:rPr>
              <w:t xml:space="preserve">, Rodin and </w:t>
            </w:r>
            <w:proofErr w:type="spellStart"/>
            <w:r w:rsidRPr="00B9770A">
              <w:rPr>
                <w:sz w:val="16"/>
                <w:szCs w:val="16"/>
              </w:rPr>
              <w:t>Piliavin</w:t>
            </w:r>
            <w:proofErr w:type="spellEnd"/>
            <w:r w:rsidRPr="00B9770A">
              <w:rPr>
                <w:sz w:val="16"/>
                <w:szCs w:val="16"/>
              </w:rPr>
              <w:t xml:space="preserve"> (1969)</w:t>
            </w:r>
          </w:p>
          <w:p w14:paraId="252322F9" w14:textId="77777777" w:rsidR="00B9770A" w:rsidRPr="00B9770A" w:rsidRDefault="00B9770A" w:rsidP="00E53108">
            <w:pPr>
              <w:rPr>
                <w:sz w:val="16"/>
                <w:szCs w:val="16"/>
              </w:rPr>
            </w:pPr>
            <w:r w:rsidRPr="00B9770A">
              <w:rPr>
                <w:sz w:val="16"/>
                <w:szCs w:val="16"/>
              </w:rPr>
              <w:t>Good Samaritan</w:t>
            </w:r>
          </w:p>
        </w:tc>
        <w:tc>
          <w:tcPr>
            <w:tcW w:w="567" w:type="dxa"/>
            <w:vMerge/>
            <w:shd w:val="clear" w:color="auto" w:fill="99FF99"/>
            <w:textDirection w:val="btLr"/>
            <w:vAlign w:val="center"/>
          </w:tcPr>
          <w:p w14:paraId="252322FA" w14:textId="77777777" w:rsidR="00B9770A" w:rsidRPr="00B9770A" w:rsidRDefault="00B9770A" w:rsidP="00E53108">
            <w:pPr>
              <w:ind w:left="113" w:right="113"/>
              <w:jc w:val="center"/>
              <w:rPr>
                <w:sz w:val="16"/>
                <w:szCs w:val="16"/>
              </w:rPr>
            </w:pPr>
          </w:p>
        </w:tc>
        <w:tc>
          <w:tcPr>
            <w:tcW w:w="13325" w:type="dxa"/>
            <w:shd w:val="clear" w:color="auto" w:fill="99FF99"/>
            <w:vAlign w:val="center"/>
          </w:tcPr>
          <w:p w14:paraId="252322FB" w14:textId="77777777" w:rsidR="00B9770A" w:rsidRPr="00B9770A" w:rsidRDefault="00B9770A" w:rsidP="00E53108">
            <w:pPr>
              <w:rPr>
                <w:sz w:val="16"/>
                <w:szCs w:val="16"/>
              </w:rPr>
            </w:pPr>
            <w:r w:rsidRPr="00B9770A">
              <w:rPr>
                <w:sz w:val="16"/>
                <w:szCs w:val="16"/>
              </w:rPr>
              <w:t xml:space="preserve">Social approach because it was seeking to investigate (in a real-life setting) the impact of other people on helping </w:t>
            </w:r>
            <w:proofErr w:type="spellStart"/>
            <w:r w:rsidRPr="00B9770A">
              <w:rPr>
                <w:sz w:val="16"/>
                <w:szCs w:val="16"/>
              </w:rPr>
              <w:t>behaviour</w:t>
            </w:r>
            <w:proofErr w:type="spellEnd"/>
            <w:r w:rsidRPr="00B9770A">
              <w:rPr>
                <w:sz w:val="16"/>
                <w:szCs w:val="16"/>
              </w:rPr>
              <w:t xml:space="preserve">. It did this through counting of the number of people in the carriage at the time of the incidents (diffusion of responsibility was not seen) while another person was available to model helping </w:t>
            </w:r>
            <w:proofErr w:type="spellStart"/>
            <w:r w:rsidRPr="00B9770A">
              <w:rPr>
                <w:sz w:val="16"/>
                <w:szCs w:val="16"/>
              </w:rPr>
              <w:t>behaviour</w:t>
            </w:r>
            <w:proofErr w:type="spellEnd"/>
            <w:r w:rsidRPr="00B9770A">
              <w:rPr>
                <w:sz w:val="16"/>
                <w:szCs w:val="16"/>
              </w:rPr>
              <w:t xml:space="preserve"> in case this was necessary.</w:t>
            </w:r>
          </w:p>
        </w:tc>
      </w:tr>
      <w:tr w:rsidR="00B9770A" w:rsidRPr="00B9770A" w14:paraId="25232301" w14:textId="77777777" w:rsidTr="001F7F48">
        <w:trPr>
          <w:trHeight w:val="736"/>
        </w:trPr>
        <w:tc>
          <w:tcPr>
            <w:tcW w:w="1843" w:type="dxa"/>
            <w:shd w:val="clear" w:color="auto" w:fill="99FF99"/>
            <w:vAlign w:val="center"/>
          </w:tcPr>
          <w:p w14:paraId="252322FD" w14:textId="77777777" w:rsidR="00B9770A" w:rsidRPr="00B9770A" w:rsidRDefault="00B9770A" w:rsidP="00E53108">
            <w:pPr>
              <w:rPr>
                <w:sz w:val="16"/>
                <w:szCs w:val="16"/>
              </w:rPr>
            </w:pPr>
            <w:r w:rsidRPr="00B9770A">
              <w:rPr>
                <w:sz w:val="16"/>
                <w:szCs w:val="16"/>
              </w:rPr>
              <w:t>Levine (2001)</w:t>
            </w:r>
          </w:p>
          <w:p w14:paraId="252322FE" w14:textId="77777777" w:rsidR="00B9770A" w:rsidRPr="00B9770A" w:rsidRDefault="00B9770A" w:rsidP="00E53108">
            <w:pPr>
              <w:rPr>
                <w:sz w:val="16"/>
                <w:szCs w:val="16"/>
              </w:rPr>
            </w:pPr>
            <w:r w:rsidRPr="00B9770A">
              <w:rPr>
                <w:sz w:val="16"/>
                <w:szCs w:val="16"/>
              </w:rPr>
              <w:t>Cross-cultural altruism</w:t>
            </w:r>
          </w:p>
        </w:tc>
        <w:tc>
          <w:tcPr>
            <w:tcW w:w="567" w:type="dxa"/>
            <w:vMerge/>
            <w:shd w:val="clear" w:color="auto" w:fill="99FF99"/>
            <w:textDirection w:val="btLr"/>
            <w:vAlign w:val="center"/>
          </w:tcPr>
          <w:p w14:paraId="252322FF" w14:textId="77777777" w:rsidR="00B9770A" w:rsidRPr="00B9770A" w:rsidRDefault="00B9770A" w:rsidP="00E53108">
            <w:pPr>
              <w:ind w:left="113" w:right="113"/>
              <w:jc w:val="center"/>
              <w:rPr>
                <w:sz w:val="16"/>
                <w:szCs w:val="16"/>
              </w:rPr>
            </w:pPr>
          </w:p>
        </w:tc>
        <w:tc>
          <w:tcPr>
            <w:tcW w:w="13325" w:type="dxa"/>
            <w:shd w:val="clear" w:color="auto" w:fill="99FF99"/>
            <w:vAlign w:val="center"/>
          </w:tcPr>
          <w:p w14:paraId="25232300" w14:textId="77777777" w:rsidR="00B9770A" w:rsidRPr="00B9770A" w:rsidRDefault="00B9770A" w:rsidP="00E53108">
            <w:pPr>
              <w:rPr>
                <w:sz w:val="16"/>
                <w:szCs w:val="16"/>
              </w:rPr>
            </w:pPr>
            <w:r w:rsidRPr="00B9770A">
              <w:rPr>
                <w:sz w:val="16"/>
                <w:szCs w:val="16"/>
              </w:rPr>
              <w:t xml:space="preserve">A more recent study investigating helping </w:t>
            </w:r>
            <w:proofErr w:type="spellStart"/>
            <w:r w:rsidRPr="00B9770A">
              <w:rPr>
                <w:sz w:val="16"/>
                <w:szCs w:val="16"/>
              </w:rPr>
              <w:t>behaviour</w:t>
            </w:r>
            <w:proofErr w:type="spellEnd"/>
            <w:r w:rsidRPr="00B9770A">
              <w:rPr>
                <w:sz w:val="16"/>
                <w:szCs w:val="16"/>
              </w:rPr>
              <w:t xml:space="preserve">, this </w:t>
            </w:r>
            <w:proofErr w:type="gramStart"/>
            <w:r w:rsidRPr="00B9770A">
              <w:rPr>
                <w:sz w:val="16"/>
                <w:szCs w:val="16"/>
              </w:rPr>
              <w:t>can be seen as</w:t>
            </w:r>
            <w:proofErr w:type="gramEnd"/>
            <w:r w:rsidRPr="00B9770A">
              <w:rPr>
                <w:sz w:val="16"/>
                <w:szCs w:val="16"/>
              </w:rPr>
              <w:t xml:space="preserve"> building on the </w:t>
            </w:r>
            <w:proofErr w:type="spellStart"/>
            <w:r w:rsidRPr="00B9770A">
              <w:rPr>
                <w:sz w:val="16"/>
                <w:szCs w:val="16"/>
              </w:rPr>
              <w:t>Piliavin</w:t>
            </w:r>
            <w:proofErr w:type="spellEnd"/>
            <w:r w:rsidRPr="00B9770A">
              <w:rPr>
                <w:sz w:val="16"/>
                <w:szCs w:val="16"/>
              </w:rPr>
              <w:t xml:space="preserve"> study by investigating it in non-confined settings and also by doing so cross-culturally, in 23 different countries. Results found cultural differences in altruism, this offering culture as an explanation.</w:t>
            </w:r>
          </w:p>
        </w:tc>
      </w:tr>
      <w:tr w:rsidR="00B9770A" w:rsidRPr="00B9770A" w14:paraId="25232305" w14:textId="77777777" w:rsidTr="00E53108">
        <w:trPr>
          <w:trHeight w:val="736"/>
        </w:trPr>
        <w:tc>
          <w:tcPr>
            <w:tcW w:w="1843" w:type="dxa"/>
            <w:shd w:val="clear" w:color="auto" w:fill="66FFFF"/>
            <w:vAlign w:val="center"/>
          </w:tcPr>
          <w:p w14:paraId="25232302" w14:textId="77777777" w:rsidR="00B9770A" w:rsidRPr="00B9770A" w:rsidRDefault="00B9770A" w:rsidP="00E53108">
            <w:pPr>
              <w:rPr>
                <w:sz w:val="16"/>
                <w:szCs w:val="16"/>
              </w:rPr>
            </w:pPr>
            <w:r w:rsidRPr="00B9770A">
              <w:rPr>
                <w:sz w:val="16"/>
                <w:szCs w:val="16"/>
              </w:rPr>
              <w:t>Moray (1959) Auditory attention</w:t>
            </w:r>
          </w:p>
        </w:tc>
        <w:tc>
          <w:tcPr>
            <w:tcW w:w="567" w:type="dxa"/>
            <w:vMerge w:val="restart"/>
            <w:shd w:val="clear" w:color="auto" w:fill="66FFFF"/>
            <w:textDirection w:val="btLr"/>
            <w:vAlign w:val="center"/>
          </w:tcPr>
          <w:p w14:paraId="25232303" w14:textId="77777777" w:rsidR="00B9770A" w:rsidRPr="00B9770A" w:rsidRDefault="00B9770A" w:rsidP="00E53108">
            <w:pPr>
              <w:ind w:left="113" w:right="113"/>
              <w:jc w:val="center"/>
              <w:rPr>
                <w:sz w:val="16"/>
                <w:szCs w:val="16"/>
              </w:rPr>
            </w:pPr>
            <w:r w:rsidRPr="00B9770A">
              <w:rPr>
                <w:sz w:val="16"/>
                <w:szCs w:val="16"/>
              </w:rPr>
              <w:t>Cognitive</w:t>
            </w:r>
          </w:p>
        </w:tc>
        <w:tc>
          <w:tcPr>
            <w:tcW w:w="13325" w:type="dxa"/>
            <w:shd w:val="clear" w:color="auto" w:fill="66FFFF"/>
            <w:vAlign w:val="center"/>
          </w:tcPr>
          <w:p w14:paraId="25232304" w14:textId="77777777" w:rsidR="00B9770A" w:rsidRPr="00B9770A" w:rsidRDefault="00B9770A" w:rsidP="00E53108">
            <w:pPr>
              <w:rPr>
                <w:sz w:val="16"/>
                <w:szCs w:val="16"/>
              </w:rPr>
            </w:pPr>
            <w:r w:rsidRPr="00B9770A">
              <w:rPr>
                <w:sz w:val="16"/>
                <w:szCs w:val="16"/>
              </w:rPr>
              <w:t>Cognitive because of its subject matter – namely, attention. This specific study was included because it is one of the many studies from the 1950s which sought to investigate auditory attention; Moray’s study comprises a series of three experiments, one of which investigates the ‘cocktail party effect’ and what kind of information breaks the attentional barrier is discussed.</w:t>
            </w:r>
          </w:p>
        </w:tc>
      </w:tr>
      <w:tr w:rsidR="00B9770A" w:rsidRPr="00B9770A" w14:paraId="25232309" w14:textId="77777777" w:rsidTr="00E53108">
        <w:trPr>
          <w:trHeight w:val="736"/>
        </w:trPr>
        <w:tc>
          <w:tcPr>
            <w:tcW w:w="1843" w:type="dxa"/>
            <w:shd w:val="clear" w:color="auto" w:fill="66FFFF"/>
            <w:vAlign w:val="center"/>
          </w:tcPr>
          <w:p w14:paraId="25232306" w14:textId="77777777" w:rsidR="00B9770A" w:rsidRPr="00B9770A" w:rsidRDefault="00B9770A" w:rsidP="00E53108">
            <w:pPr>
              <w:rPr>
                <w:sz w:val="16"/>
                <w:szCs w:val="16"/>
              </w:rPr>
            </w:pPr>
            <w:r w:rsidRPr="00B9770A">
              <w:rPr>
                <w:sz w:val="16"/>
                <w:szCs w:val="16"/>
              </w:rPr>
              <w:t xml:space="preserve">Simons and </w:t>
            </w:r>
            <w:proofErr w:type="spellStart"/>
            <w:r w:rsidRPr="00B9770A">
              <w:rPr>
                <w:sz w:val="16"/>
                <w:szCs w:val="16"/>
              </w:rPr>
              <w:t>Chabris</w:t>
            </w:r>
            <w:proofErr w:type="spellEnd"/>
            <w:r w:rsidRPr="00B9770A">
              <w:rPr>
                <w:sz w:val="16"/>
                <w:szCs w:val="16"/>
              </w:rPr>
              <w:t xml:space="preserve"> (1999) Visual inattention</w:t>
            </w:r>
          </w:p>
        </w:tc>
        <w:tc>
          <w:tcPr>
            <w:tcW w:w="567" w:type="dxa"/>
            <w:vMerge/>
            <w:shd w:val="clear" w:color="auto" w:fill="66FFFF"/>
            <w:textDirection w:val="btLr"/>
            <w:vAlign w:val="center"/>
          </w:tcPr>
          <w:p w14:paraId="25232307" w14:textId="77777777" w:rsidR="00B9770A" w:rsidRPr="00B9770A" w:rsidRDefault="00B9770A" w:rsidP="00E53108">
            <w:pPr>
              <w:ind w:left="113" w:right="113"/>
              <w:jc w:val="center"/>
              <w:rPr>
                <w:sz w:val="16"/>
                <w:szCs w:val="16"/>
              </w:rPr>
            </w:pPr>
          </w:p>
        </w:tc>
        <w:tc>
          <w:tcPr>
            <w:tcW w:w="13325" w:type="dxa"/>
            <w:shd w:val="clear" w:color="auto" w:fill="66FFFF"/>
            <w:vAlign w:val="center"/>
          </w:tcPr>
          <w:p w14:paraId="25232308" w14:textId="77777777" w:rsidR="00B9770A" w:rsidRPr="00B9770A" w:rsidRDefault="00B9770A" w:rsidP="00E53108">
            <w:pPr>
              <w:rPr>
                <w:sz w:val="16"/>
                <w:szCs w:val="16"/>
              </w:rPr>
            </w:pPr>
            <w:r w:rsidRPr="00B9770A">
              <w:rPr>
                <w:sz w:val="16"/>
                <w:szCs w:val="16"/>
              </w:rPr>
              <w:t xml:space="preserve">This </w:t>
            </w:r>
            <w:proofErr w:type="gramStart"/>
            <w:r w:rsidRPr="00B9770A">
              <w:rPr>
                <w:sz w:val="16"/>
                <w:szCs w:val="16"/>
              </w:rPr>
              <w:t>can be seen as</w:t>
            </w:r>
            <w:proofErr w:type="gramEnd"/>
            <w:r w:rsidRPr="00B9770A">
              <w:rPr>
                <w:sz w:val="16"/>
                <w:szCs w:val="16"/>
              </w:rPr>
              <w:t xml:space="preserve"> building on Moray’s work by investigating visual (as opposed to auditory) attention. This study also explains why we may not recall information that we see, but do not pay attention to.</w:t>
            </w:r>
          </w:p>
        </w:tc>
      </w:tr>
      <w:tr w:rsidR="00B9770A" w:rsidRPr="00B9770A" w14:paraId="2523230D" w14:textId="77777777" w:rsidTr="00E53108">
        <w:trPr>
          <w:trHeight w:val="736"/>
        </w:trPr>
        <w:tc>
          <w:tcPr>
            <w:tcW w:w="1843" w:type="dxa"/>
            <w:shd w:val="clear" w:color="auto" w:fill="66FFFF"/>
            <w:vAlign w:val="center"/>
          </w:tcPr>
          <w:p w14:paraId="2523230A" w14:textId="77777777" w:rsidR="00B9770A" w:rsidRPr="00B9770A" w:rsidRDefault="00B9770A" w:rsidP="00E53108">
            <w:pPr>
              <w:rPr>
                <w:sz w:val="16"/>
                <w:szCs w:val="16"/>
              </w:rPr>
            </w:pPr>
            <w:r w:rsidRPr="00B9770A">
              <w:rPr>
                <w:sz w:val="16"/>
                <w:szCs w:val="16"/>
              </w:rPr>
              <w:t>Loftus and Palmer (1974) Eyewitness testimony</w:t>
            </w:r>
          </w:p>
        </w:tc>
        <w:tc>
          <w:tcPr>
            <w:tcW w:w="567" w:type="dxa"/>
            <w:vMerge/>
            <w:shd w:val="clear" w:color="auto" w:fill="66FFFF"/>
            <w:textDirection w:val="btLr"/>
            <w:vAlign w:val="center"/>
          </w:tcPr>
          <w:p w14:paraId="2523230B" w14:textId="77777777" w:rsidR="00B9770A" w:rsidRPr="00B9770A" w:rsidRDefault="00B9770A" w:rsidP="00E53108">
            <w:pPr>
              <w:ind w:left="113" w:right="113"/>
              <w:jc w:val="center"/>
              <w:rPr>
                <w:sz w:val="16"/>
                <w:szCs w:val="16"/>
              </w:rPr>
            </w:pPr>
          </w:p>
        </w:tc>
        <w:tc>
          <w:tcPr>
            <w:tcW w:w="13325" w:type="dxa"/>
            <w:shd w:val="clear" w:color="auto" w:fill="66FFFF"/>
            <w:vAlign w:val="center"/>
          </w:tcPr>
          <w:p w14:paraId="2523230C" w14:textId="77777777" w:rsidR="00B9770A" w:rsidRPr="00B9770A" w:rsidRDefault="00B9770A" w:rsidP="001F7F48">
            <w:pPr>
              <w:rPr>
                <w:sz w:val="16"/>
                <w:szCs w:val="16"/>
              </w:rPr>
            </w:pPr>
            <w:r w:rsidRPr="00B9770A">
              <w:rPr>
                <w:sz w:val="16"/>
                <w:szCs w:val="16"/>
              </w:rPr>
              <w:t>Cognitive because of its subject matter –memory. This study shows the impact that post-event information can have on memory, even to the point (in the second of their two experiments) of producing false memories.</w:t>
            </w:r>
          </w:p>
        </w:tc>
      </w:tr>
      <w:tr w:rsidR="00B9770A" w:rsidRPr="00B9770A" w14:paraId="25232312" w14:textId="77777777" w:rsidTr="00E53108">
        <w:trPr>
          <w:trHeight w:val="736"/>
        </w:trPr>
        <w:tc>
          <w:tcPr>
            <w:tcW w:w="1843" w:type="dxa"/>
            <w:shd w:val="clear" w:color="auto" w:fill="66FFFF"/>
            <w:vAlign w:val="center"/>
          </w:tcPr>
          <w:p w14:paraId="2523230E" w14:textId="77777777" w:rsidR="00B9770A" w:rsidRPr="00B9770A" w:rsidRDefault="00B9770A" w:rsidP="00E53108">
            <w:pPr>
              <w:rPr>
                <w:sz w:val="16"/>
                <w:szCs w:val="16"/>
              </w:rPr>
            </w:pPr>
            <w:r w:rsidRPr="00B9770A">
              <w:rPr>
                <w:sz w:val="16"/>
                <w:szCs w:val="16"/>
              </w:rPr>
              <w:t>Grant et al (1998)</w:t>
            </w:r>
          </w:p>
          <w:p w14:paraId="2523230F" w14:textId="77777777" w:rsidR="00B9770A" w:rsidRPr="00B9770A" w:rsidRDefault="00B9770A" w:rsidP="00E53108">
            <w:pPr>
              <w:rPr>
                <w:sz w:val="16"/>
                <w:szCs w:val="16"/>
              </w:rPr>
            </w:pPr>
            <w:r w:rsidRPr="00B9770A">
              <w:rPr>
                <w:sz w:val="16"/>
                <w:szCs w:val="16"/>
              </w:rPr>
              <w:t>Context-dependent memory</w:t>
            </w:r>
          </w:p>
        </w:tc>
        <w:tc>
          <w:tcPr>
            <w:tcW w:w="567" w:type="dxa"/>
            <w:vMerge/>
            <w:shd w:val="clear" w:color="auto" w:fill="66FFFF"/>
            <w:textDirection w:val="btLr"/>
            <w:vAlign w:val="center"/>
          </w:tcPr>
          <w:p w14:paraId="25232310" w14:textId="77777777" w:rsidR="00B9770A" w:rsidRPr="00B9770A" w:rsidRDefault="00B9770A" w:rsidP="00E53108">
            <w:pPr>
              <w:ind w:left="113" w:right="113"/>
              <w:jc w:val="center"/>
              <w:rPr>
                <w:sz w:val="16"/>
                <w:szCs w:val="16"/>
              </w:rPr>
            </w:pPr>
          </w:p>
        </w:tc>
        <w:tc>
          <w:tcPr>
            <w:tcW w:w="13325" w:type="dxa"/>
            <w:shd w:val="clear" w:color="auto" w:fill="66FFFF"/>
            <w:vAlign w:val="center"/>
          </w:tcPr>
          <w:p w14:paraId="25232311" w14:textId="77777777" w:rsidR="00B9770A" w:rsidRPr="00B9770A" w:rsidRDefault="00B9770A" w:rsidP="00E53108">
            <w:pPr>
              <w:rPr>
                <w:sz w:val="16"/>
                <w:szCs w:val="16"/>
              </w:rPr>
            </w:pPr>
            <w:r w:rsidRPr="00B9770A">
              <w:rPr>
                <w:sz w:val="16"/>
                <w:szCs w:val="16"/>
              </w:rPr>
              <w:t>A study which shows another way in which memory can be affected – in this case, by whether information is recalled in a similar context to that in which it was first encountered. In contrast to Loftus and Palmer’s study, this research explains how memory can be enhanced, rather than distorted.</w:t>
            </w:r>
          </w:p>
        </w:tc>
      </w:tr>
      <w:tr w:rsidR="00B9770A" w:rsidRPr="00B9770A" w14:paraId="25232316" w14:textId="77777777" w:rsidTr="001F7F48">
        <w:trPr>
          <w:trHeight w:val="736"/>
        </w:trPr>
        <w:tc>
          <w:tcPr>
            <w:tcW w:w="1843" w:type="dxa"/>
            <w:shd w:val="clear" w:color="auto" w:fill="E5DFEC" w:themeFill="accent4" w:themeFillTint="33"/>
            <w:vAlign w:val="center"/>
          </w:tcPr>
          <w:p w14:paraId="25232313" w14:textId="77777777" w:rsidR="00B9770A" w:rsidRPr="00B9770A" w:rsidRDefault="00B9770A" w:rsidP="00E53108">
            <w:pPr>
              <w:rPr>
                <w:sz w:val="16"/>
                <w:szCs w:val="16"/>
              </w:rPr>
            </w:pPr>
            <w:bookmarkStart w:id="0" w:name="page_3"/>
            <w:bookmarkEnd w:id="0"/>
            <w:r w:rsidRPr="00B9770A">
              <w:rPr>
                <w:sz w:val="16"/>
                <w:szCs w:val="16"/>
              </w:rPr>
              <w:t>Bandura (1961) Transmission of aggression</w:t>
            </w:r>
          </w:p>
        </w:tc>
        <w:tc>
          <w:tcPr>
            <w:tcW w:w="567" w:type="dxa"/>
            <w:vMerge w:val="restart"/>
            <w:shd w:val="clear" w:color="auto" w:fill="E5DFEC" w:themeFill="accent4" w:themeFillTint="33"/>
            <w:textDirection w:val="btLr"/>
            <w:vAlign w:val="center"/>
          </w:tcPr>
          <w:p w14:paraId="25232314" w14:textId="77777777" w:rsidR="00B9770A" w:rsidRPr="00B9770A" w:rsidRDefault="00B9770A" w:rsidP="00E53108">
            <w:pPr>
              <w:ind w:left="113" w:right="113"/>
              <w:jc w:val="center"/>
              <w:rPr>
                <w:sz w:val="16"/>
                <w:szCs w:val="16"/>
              </w:rPr>
            </w:pPr>
            <w:r w:rsidRPr="00B9770A">
              <w:rPr>
                <w:sz w:val="16"/>
                <w:szCs w:val="16"/>
              </w:rPr>
              <w:t>Developmental</w:t>
            </w:r>
          </w:p>
        </w:tc>
        <w:tc>
          <w:tcPr>
            <w:tcW w:w="13325" w:type="dxa"/>
            <w:shd w:val="clear" w:color="auto" w:fill="E5DFEC" w:themeFill="accent4" w:themeFillTint="33"/>
            <w:vAlign w:val="center"/>
          </w:tcPr>
          <w:p w14:paraId="25232315" w14:textId="77777777" w:rsidR="00B9770A" w:rsidRPr="00B9770A" w:rsidRDefault="00B9770A" w:rsidP="00E53108">
            <w:pPr>
              <w:rPr>
                <w:sz w:val="16"/>
                <w:szCs w:val="16"/>
              </w:rPr>
            </w:pPr>
            <w:r w:rsidRPr="00B9770A">
              <w:rPr>
                <w:sz w:val="16"/>
                <w:szCs w:val="16"/>
              </w:rPr>
              <w:t xml:space="preserve">Developmental because of the way in which it shows how children’s </w:t>
            </w:r>
            <w:proofErr w:type="spellStart"/>
            <w:r w:rsidRPr="00B9770A">
              <w:rPr>
                <w:sz w:val="16"/>
                <w:szCs w:val="16"/>
              </w:rPr>
              <w:t>behaviour</w:t>
            </w:r>
            <w:proofErr w:type="spellEnd"/>
            <w:r w:rsidRPr="00B9770A">
              <w:rPr>
                <w:sz w:val="16"/>
                <w:szCs w:val="16"/>
              </w:rPr>
              <w:t xml:space="preserve"> can be influenced by the </w:t>
            </w:r>
            <w:proofErr w:type="spellStart"/>
            <w:r w:rsidRPr="00B9770A">
              <w:rPr>
                <w:sz w:val="16"/>
                <w:szCs w:val="16"/>
              </w:rPr>
              <w:t>behaviour</w:t>
            </w:r>
            <w:proofErr w:type="spellEnd"/>
            <w:r w:rsidRPr="00B9770A">
              <w:rPr>
                <w:sz w:val="16"/>
                <w:szCs w:val="16"/>
              </w:rPr>
              <w:t xml:space="preserve"> of adult role models (who they imitate). This lab study can be compared to Chaney et </w:t>
            </w:r>
            <w:proofErr w:type="spellStart"/>
            <w:r w:rsidRPr="00B9770A">
              <w:rPr>
                <w:sz w:val="16"/>
                <w:szCs w:val="16"/>
              </w:rPr>
              <w:t>al’s</w:t>
            </w:r>
            <w:proofErr w:type="spellEnd"/>
            <w:r w:rsidRPr="00B9770A">
              <w:rPr>
                <w:sz w:val="16"/>
                <w:szCs w:val="16"/>
              </w:rPr>
              <w:t xml:space="preserve"> field study.</w:t>
            </w:r>
          </w:p>
        </w:tc>
      </w:tr>
      <w:tr w:rsidR="00B9770A" w:rsidRPr="00B9770A" w14:paraId="2523231A" w14:textId="77777777" w:rsidTr="001F7F48">
        <w:trPr>
          <w:trHeight w:val="736"/>
        </w:trPr>
        <w:tc>
          <w:tcPr>
            <w:tcW w:w="1843" w:type="dxa"/>
            <w:shd w:val="clear" w:color="auto" w:fill="E5DFEC" w:themeFill="accent4" w:themeFillTint="33"/>
            <w:vAlign w:val="center"/>
          </w:tcPr>
          <w:p w14:paraId="25232317" w14:textId="77777777" w:rsidR="00B9770A" w:rsidRPr="00B9770A" w:rsidRDefault="00B9770A" w:rsidP="00E53108">
            <w:pPr>
              <w:rPr>
                <w:sz w:val="16"/>
                <w:szCs w:val="16"/>
              </w:rPr>
            </w:pPr>
            <w:r w:rsidRPr="00B9770A">
              <w:rPr>
                <w:sz w:val="16"/>
                <w:szCs w:val="16"/>
              </w:rPr>
              <w:t xml:space="preserve">Chaney et al (2004) </w:t>
            </w:r>
            <w:proofErr w:type="spellStart"/>
            <w:r w:rsidRPr="00B9770A">
              <w:rPr>
                <w:sz w:val="16"/>
                <w:szCs w:val="16"/>
              </w:rPr>
              <w:t>Funhaler</w:t>
            </w:r>
            <w:proofErr w:type="spellEnd"/>
            <w:r w:rsidRPr="00B9770A">
              <w:rPr>
                <w:sz w:val="16"/>
                <w:szCs w:val="16"/>
              </w:rPr>
              <w:t xml:space="preserve"> study</w:t>
            </w:r>
          </w:p>
        </w:tc>
        <w:tc>
          <w:tcPr>
            <w:tcW w:w="567" w:type="dxa"/>
            <w:vMerge/>
            <w:shd w:val="clear" w:color="auto" w:fill="E5DFEC" w:themeFill="accent4" w:themeFillTint="33"/>
            <w:textDirection w:val="btLr"/>
            <w:vAlign w:val="center"/>
          </w:tcPr>
          <w:p w14:paraId="25232318" w14:textId="77777777" w:rsidR="00B9770A" w:rsidRPr="00B9770A" w:rsidRDefault="00B9770A" w:rsidP="00E53108">
            <w:pPr>
              <w:ind w:left="113" w:right="113"/>
              <w:jc w:val="center"/>
              <w:rPr>
                <w:sz w:val="16"/>
                <w:szCs w:val="16"/>
              </w:rPr>
            </w:pPr>
          </w:p>
        </w:tc>
        <w:tc>
          <w:tcPr>
            <w:tcW w:w="13325" w:type="dxa"/>
            <w:shd w:val="clear" w:color="auto" w:fill="E5DFEC" w:themeFill="accent4" w:themeFillTint="33"/>
            <w:vAlign w:val="center"/>
          </w:tcPr>
          <w:p w14:paraId="25232319" w14:textId="77777777" w:rsidR="00B9770A" w:rsidRPr="00B9770A" w:rsidRDefault="00B9770A" w:rsidP="00E53108">
            <w:pPr>
              <w:rPr>
                <w:sz w:val="16"/>
                <w:szCs w:val="16"/>
              </w:rPr>
            </w:pPr>
            <w:r w:rsidRPr="00B9770A">
              <w:rPr>
                <w:sz w:val="16"/>
                <w:szCs w:val="16"/>
              </w:rPr>
              <w:t xml:space="preserve">Developmental because it is illustrating another way in which children’s </w:t>
            </w:r>
            <w:proofErr w:type="spellStart"/>
            <w:r w:rsidRPr="00B9770A">
              <w:rPr>
                <w:sz w:val="16"/>
                <w:szCs w:val="16"/>
              </w:rPr>
              <w:t>behaviour</w:t>
            </w:r>
            <w:proofErr w:type="spellEnd"/>
            <w:r w:rsidRPr="00B9770A">
              <w:rPr>
                <w:sz w:val="16"/>
                <w:szCs w:val="16"/>
              </w:rPr>
              <w:t xml:space="preserve"> can be influenced by external factors – in this case, the presence of positive and negative reinforcers.</w:t>
            </w:r>
          </w:p>
        </w:tc>
      </w:tr>
      <w:tr w:rsidR="00B9770A" w:rsidRPr="00B9770A" w14:paraId="2523231F" w14:textId="77777777" w:rsidTr="001F7F48">
        <w:trPr>
          <w:trHeight w:val="950"/>
        </w:trPr>
        <w:tc>
          <w:tcPr>
            <w:tcW w:w="1843" w:type="dxa"/>
            <w:shd w:val="clear" w:color="auto" w:fill="E5DFEC" w:themeFill="accent4" w:themeFillTint="33"/>
            <w:vAlign w:val="center"/>
          </w:tcPr>
          <w:p w14:paraId="2523231B" w14:textId="77777777" w:rsidR="00B9770A" w:rsidRPr="00B9770A" w:rsidRDefault="00B9770A" w:rsidP="00E53108">
            <w:pPr>
              <w:rPr>
                <w:sz w:val="16"/>
                <w:szCs w:val="16"/>
              </w:rPr>
            </w:pPr>
            <w:r w:rsidRPr="00B9770A">
              <w:rPr>
                <w:sz w:val="16"/>
                <w:szCs w:val="16"/>
              </w:rPr>
              <w:t>Kohlberg (1968)</w:t>
            </w:r>
          </w:p>
          <w:p w14:paraId="2523231C" w14:textId="77777777" w:rsidR="00B9770A" w:rsidRPr="00B9770A" w:rsidRDefault="00B9770A" w:rsidP="00E53108">
            <w:pPr>
              <w:rPr>
                <w:sz w:val="16"/>
                <w:szCs w:val="16"/>
              </w:rPr>
            </w:pPr>
            <w:r w:rsidRPr="00B9770A">
              <w:rPr>
                <w:sz w:val="16"/>
                <w:szCs w:val="16"/>
              </w:rPr>
              <w:t>Stages of moral development</w:t>
            </w:r>
          </w:p>
        </w:tc>
        <w:tc>
          <w:tcPr>
            <w:tcW w:w="567" w:type="dxa"/>
            <w:vMerge/>
            <w:shd w:val="clear" w:color="auto" w:fill="E5DFEC" w:themeFill="accent4" w:themeFillTint="33"/>
            <w:textDirection w:val="btLr"/>
            <w:vAlign w:val="center"/>
          </w:tcPr>
          <w:p w14:paraId="2523231D" w14:textId="77777777" w:rsidR="00B9770A" w:rsidRPr="00B9770A" w:rsidRDefault="00B9770A" w:rsidP="00E53108">
            <w:pPr>
              <w:ind w:left="113" w:right="113"/>
              <w:jc w:val="center"/>
              <w:rPr>
                <w:sz w:val="16"/>
                <w:szCs w:val="16"/>
              </w:rPr>
            </w:pPr>
          </w:p>
        </w:tc>
        <w:tc>
          <w:tcPr>
            <w:tcW w:w="13325" w:type="dxa"/>
            <w:shd w:val="clear" w:color="auto" w:fill="E5DFEC" w:themeFill="accent4" w:themeFillTint="33"/>
            <w:vAlign w:val="center"/>
          </w:tcPr>
          <w:p w14:paraId="2523231E" w14:textId="77777777" w:rsidR="00B9770A" w:rsidRPr="00B9770A" w:rsidRDefault="00B9770A" w:rsidP="001F7F48">
            <w:pPr>
              <w:rPr>
                <w:sz w:val="16"/>
                <w:szCs w:val="16"/>
              </w:rPr>
            </w:pPr>
            <w:r w:rsidRPr="00B9770A">
              <w:rPr>
                <w:sz w:val="16"/>
                <w:szCs w:val="16"/>
              </w:rPr>
              <w:t>Developmental because it is investigating how, as people get older, the nature of their moral thinking can be seen to evolve, potentially passing through six distinct stages of moral development. It is suggesting</w:t>
            </w:r>
            <w:r w:rsidR="001F7F48">
              <w:rPr>
                <w:sz w:val="16"/>
                <w:szCs w:val="16"/>
              </w:rPr>
              <w:t xml:space="preserve"> </w:t>
            </w:r>
            <w:r w:rsidRPr="00B9770A">
              <w:rPr>
                <w:sz w:val="16"/>
                <w:szCs w:val="16"/>
              </w:rPr>
              <w:t>that this occurs in line with cognitive development and that it occurs irrespective of the culture a person is growing up in.</w:t>
            </w:r>
          </w:p>
        </w:tc>
      </w:tr>
      <w:tr w:rsidR="00B9770A" w:rsidRPr="00B9770A" w14:paraId="25232324" w14:textId="77777777" w:rsidTr="001F7F48">
        <w:trPr>
          <w:trHeight w:val="736"/>
        </w:trPr>
        <w:tc>
          <w:tcPr>
            <w:tcW w:w="1843" w:type="dxa"/>
            <w:shd w:val="clear" w:color="auto" w:fill="E5DFEC" w:themeFill="accent4" w:themeFillTint="33"/>
            <w:vAlign w:val="center"/>
          </w:tcPr>
          <w:p w14:paraId="25232320" w14:textId="77777777" w:rsidR="00B9770A" w:rsidRPr="00B9770A" w:rsidRDefault="00B9770A" w:rsidP="00E53108">
            <w:pPr>
              <w:rPr>
                <w:sz w:val="16"/>
                <w:szCs w:val="16"/>
              </w:rPr>
            </w:pPr>
            <w:r w:rsidRPr="00B9770A">
              <w:rPr>
                <w:sz w:val="16"/>
                <w:szCs w:val="16"/>
              </w:rPr>
              <w:t>Lee et al (1997)</w:t>
            </w:r>
          </w:p>
          <w:p w14:paraId="25232321" w14:textId="77777777" w:rsidR="00B9770A" w:rsidRPr="00B9770A" w:rsidRDefault="00B9770A" w:rsidP="00E53108">
            <w:pPr>
              <w:rPr>
                <w:sz w:val="16"/>
                <w:szCs w:val="16"/>
              </w:rPr>
            </w:pPr>
            <w:r w:rsidRPr="00B9770A">
              <w:rPr>
                <w:sz w:val="16"/>
                <w:szCs w:val="16"/>
              </w:rPr>
              <w:t>Evaluations of lying and truth-telling</w:t>
            </w:r>
          </w:p>
        </w:tc>
        <w:tc>
          <w:tcPr>
            <w:tcW w:w="567" w:type="dxa"/>
            <w:vMerge/>
            <w:shd w:val="clear" w:color="auto" w:fill="E5DFEC" w:themeFill="accent4" w:themeFillTint="33"/>
            <w:textDirection w:val="btLr"/>
            <w:vAlign w:val="center"/>
          </w:tcPr>
          <w:p w14:paraId="25232322" w14:textId="77777777" w:rsidR="00B9770A" w:rsidRPr="00B9770A" w:rsidRDefault="00B9770A" w:rsidP="00E53108">
            <w:pPr>
              <w:ind w:left="113" w:right="113"/>
              <w:jc w:val="center"/>
              <w:rPr>
                <w:sz w:val="16"/>
                <w:szCs w:val="16"/>
              </w:rPr>
            </w:pPr>
          </w:p>
        </w:tc>
        <w:tc>
          <w:tcPr>
            <w:tcW w:w="13325" w:type="dxa"/>
            <w:shd w:val="clear" w:color="auto" w:fill="E5DFEC" w:themeFill="accent4" w:themeFillTint="33"/>
            <w:vAlign w:val="center"/>
          </w:tcPr>
          <w:p w14:paraId="25232323" w14:textId="77777777" w:rsidR="00B9770A" w:rsidRPr="00B9770A" w:rsidRDefault="00B9770A" w:rsidP="00E53108">
            <w:pPr>
              <w:rPr>
                <w:sz w:val="16"/>
                <w:szCs w:val="16"/>
              </w:rPr>
            </w:pPr>
            <w:r w:rsidRPr="00B9770A">
              <w:rPr>
                <w:sz w:val="16"/>
                <w:szCs w:val="16"/>
              </w:rPr>
              <w:t>A cross-cultural study which challenges Kohlberg’s suggestion that the development of moral thinking is unaffected by the culture a child grows up in. Lee et al show the impact of culture through Chinese and Canadian children’s evaluations of lying and truth-telling. It also investigates the impact that a child’s age has on their evaluations of lying and truth-telling, and its use of a cross-sectional approach contrasts nicely with Kohlberg’s longitudinal approach.</w:t>
            </w:r>
          </w:p>
        </w:tc>
      </w:tr>
      <w:tr w:rsidR="00B9770A" w:rsidRPr="00B9770A" w14:paraId="25232328" w14:textId="77777777" w:rsidTr="001F7F48">
        <w:trPr>
          <w:trHeight w:val="736"/>
        </w:trPr>
        <w:tc>
          <w:tcPr>
            <w:tcW w:w="1843" w:type="dxa"/>
            <w:shd w:val="clear" w:color="auto" w:fill="99FF99"/>
            <w:vAlign w:val="center"/>
          </w:tcPr>
          <w:p w14:paraId="25232325" w14:textId="77777777" w:rsidR="00B9770A" w:rsidRPr="00B9770A" w:rsidRDefault="00B9770A" w:rsidP="00E53108">
            <w:pPr>
              <w:rPr>
                <w:sz w:val="16"/>
                <w:szCs w:val="16"/>
              </w:rPr>
            </w:pPr>
            <w:r w:rsidRPr="00B9770A">
              <w:rPr>
                <w:sz w:val="16"/>
                <w:szCs w:val="16"/>
              </w:rPr>
              <w:lastRenderedPageBreak/>
              <w:t>Sperry (1968) Split brain study</w:t>
            </w:r>
          </w:p>
        </w:tc>
        <w:tc>
          <w:tcPr>
            <w:tcW w:w="567" w:type="dxa"/>
            <w:vMerge w:val="restart"/>
            <w:shd w:val="clear" w:color="auto" w:fill="99FF99"/>
            <w:textDirection w:val="btLr"/>
            <w:vAlign w:val="center"/>
          </w:tcPr>
          <w:p w14:paraId="25232326" w14:textId="77777777" w:rsidR="00B9770A" w:rsidRPr="00B9770A" w:rsidRDefault="00B9770A" w:rsidP="00E53108">
            <w:pPr>
              <w:ind w:left="113" w:right="113"/>
              <w:jc w:val="center"/>
              <w:rPr>
                <w:sz w:val="16"/>
                <w:szCs w:val="16"/>
              </w:rPr>
            </w:pPr>
            <w:r w:rsidRPr="00B9770A">
              <w:rPr>
                <w:sz w:val="16"/>
                <w:szCs w:val="16"/>
              </w:rPr>
              <w:t>Biological</w:t>
            </w:r>
          </w:p>
        </w:tc>
        <w:tc>
          <w:tcPr>
            <w:tcW w:w="13325" w:type="dxa"/>
            <w:shd w:val="clear" w:color="auto" w:fill="99FF99"/>
            <w:vAlign w:val="center"/>
          </w:tcPr>
          <w:p w14:paraId="25232327" w14:textId="77777777" w:rsidR="00B9770A" w:rsidRPr="00B9770A" w:rsidRDefault="00B9770A" w:rsidP="00E53108">
            <w:pPr>
              <w:rPr>
                <w:sz w:val="16"/>
                <w:szCs w:val="16"/>
              </w:rPr>
            </w:pPr>
            <w:r w:rsidRPr="00B9770A">
              <w:rPr>
                <w:sz w:val="16"/>
                <w:szCs w:val="16"/>
              </w:rPr>
              <w:t xml:space="preserve">Biological because it is showing, through split-brain patients, the way in which different abilities are localized within the two hemispheres of the brain and distinct areas control specific </w:t>
            </w:r>
            <w:proofErr w:type="spellStart"/>
            <w:r w:rsidRPr="00B9770A">
              <w:rPr>
                <w:sz w:val="16"/>
                <w:szCs w:val="16"/>
              </w:rPr>
              <w:t>behaviours</w:t>
            </w:r>
            <w:proofErr w:type="spellEnd"/>
            <w:r w:rsidRPr="00B9770A">
              <w:rPr>
                <w:sz w:val="16"/>
                <w:szCs w:val="16"/>
              </w:rPr>
              <w:t>. Sperry’s study has a small sample in comparison to the Casey et al study.</w:t>
            </w:r>
          </w:p>
        </w:tc>
      </w:tr>
      <w:tr w:rsidR="00B9770A" w:rsidRPr="00B9770A" w14:paraId="2523232D" w14:textId="77777777" w:rsidTr="001F7F48">
        <w:trPr>
          <w:trHeight w:val="736"/>
        </w:trPr>
        <w:tc>
          <w:tcPr>
            <w:tcW w:w="1843" w:type="dxa"/>
            <w:shd w:val="clear" w:color="auto" w:fill="99FF99"/>
            <w:vAlign w:val="center"/>
          </w:tcPr>
          <w:p w14:paraId="25232329" w14:textId="77777777" w:rsidR="00B9770A" w:rsidRPr="00B9770A" w:rsidRDefault="00B9770A" w:rsidP="00E53108">
            <w:pPr>
              <w:rPr>
                <w:sz w:val="16"/>
                <w:szCs w:val="16"/>
              </w:rPr>
            </w:pPr>
            <w:r w:rsidRPr="00B9770A">
              <w:rPr>
                <w:sz w:val="16"/>
                <w:szCs w:val="16"/>
              </w:rPr>
              <w:t>Casey et al (2011)</w:t>
            </w:r>
          </w:p>
          <w:p w14:paraId="2523232A" w14:textId="77777777" w:rsidR="00B9770A" w:rsidRPr="00B9770A" w:rsidRDefault="00B9770A" w:rsidP="00E53108">
            <w:pPr>
              <w:rPr>
                <w:sz w:val="16"/>
                <w:szCs w:val="16"/>
              </w:rPr>
            </w:pPr>
            <w:r w:rsidRPr="00B9770A">
              <w:rPr>
                <w:sz w:val="16"/>
                <w:szCs w:val="16"/>
              </w:rPr>
              <w:t>Neural correlates of delay of gratification</w:t>
            </w:r>
          </w:p>
        </w:tc>
        <w:tc>
          <w:tcPr>
            <w:tcW w:w="567" w:type="dxa"/>
            <w:vMerge/>
            <w:shd w:val="clear" w:color="auto" w:fill="99FF99"/>
            <w:textDirection w:val="btLr"/>
            <w:vAlign w:val="center"/>
          </w:tcPr>
          <w:p w14:paraId="2523232B" w14:textId="77777777" w:rsidR="00B9770A" w:rsidRPr="00B9770A" w:rsidRDefault="00B9770A" w:rsidP="00E53108">
            <w:pPr>
              <w:ind w:left="113" w:right="113"/>
              <w:jc w:val="center"/>
              <w:rPr>
                <w:sz w:val="16"/>
                <w:szCs w:val="16"/>
              </w:rPr>
            </w:pPr>
          </w:p>
        </w:tc>
        <w:tc>
          <w:tcPr>
            <w:tcW w:w="13325" w:type="dxa"/>
            <w:shd w:val="clear" w:color="auto" w:fill="99FF99"/>
            <w:vAlign w:val="center"/>
          </w:tcPr>
          <w:p w14:paraId="2523232C" w14:textId="77777777" w:rsidR="00B9770A" w:rsidRPr="00B9770A" w:rsidRDefault="00B9770A" w:rsidP="00E53108">
            <w:pPr>
              <w:rPr>
                <w:sz w:val="16"/>
                <w:szCs w:val="16"/>
              </w:rPr>
            </w:pPr>
            <w:r w:rsidRPr="00B9770A">
              <w:rPr>
                <w:sz w:val="16"/>
                <w:szCs w:val="16"/>
              </w:rPr>
              <w:t xml:space="preserve">Biological because it involves trying to see whether there is a neural basis to self-regulation. This is done through fMRI scans of people who, forty years previously, had taken part in </w:t>
            </w:r>
            <w:proofErr w:type="spellStart"/>
            <w:r w:rsidRPr="00B9770A">
              <w:rPr>
                <w:sz w:val="16"/>
                <w:szCs w:val="16"/>
              </w:rPr>
              <w:t>Mischel’s</w:t>
            </w:r>
            <w:proofErr w:type="spellEnd"/>
            <w:r w:rsidRPr="00B9770A">
              <w:rPr>
                <w:sz w:val="16"/>
                <w:szCs w:val="16"/>
              </w:rPr>
              <w:t xml:space="preserve"> delay-of-gratification (marshmallow) test.</w:t>
            </w:r>
          </w:p>
        </w:tc>
      </w:tr>
      <w:tr w:rsidR="00B9770A" w:rsidRPr="00B9770A" w14:paraId="25232332" w14:textId="77777777" w:rsidTr="001F7F48">
        <w:trPr>
          <w:trHeight w:val="736"/>
        </w:trPr>
        <w:tc>
          <w:tcPr>
            <w:tcW w:w="1843" w:type="dxa"/>
            <w:shd w:val="clear" w:color="auto" w:fill="99FF99"/>
            <w:vAlign w:val="center"/>
          </w:tcPr>
          <w:p w14:paraId="2523232E" w14:textId="77777777" w:rsidR="00B9770A" w:rsidRPr="00B9770A" w:rsidRDefault="00B9770A" w:rsidP="00E53108">
            <w:pPr>
              <w:rPr>
                <w:sz w:val="16"/>
                <w:szCs w:val="16"/>
              </w:rPr>
            </w:pPr>
            <w:r w:rsidRPr="00B9770A">
              <w:rPr>
                <w:sz w:val="16"/>
                <w:szCs w:val="16"/>
              </w:rPr>
              <w:t>Blakemore and Cooper (1970)</w:t>
            </w:r>
          </w:p>
          <w:p w14:paraId="2523232F" w14:textId="77777777" w:rsidR="00B9770A" w:rsidRPr="00B9770A" w:rsidRDefault="00B9770A" w:rsidP="00E53108">
            <w:pPr>
              <w:rPr>
                <w:sz w:val="16"/>
                <w:szCs w:val="16"/>
              </w:rPr>
            </w:pPr>
            <w:r w:rsidRPr="00B9770A">
              <w:rPr>
                <w:sz w:val="16"/>
                <w:szCs w:val="16"/>
              </w:rPr>
              <w:t>Impact of early visual experience</w:t>
            </w:r>
          </w:p>
        </w:tc>
        <w:tc>
          <w:tcPr>
            <w:tcW w:w="567" w:type="dxa"/>
            <w:vMerge/>
            <w:shd w:val="clear" w:color="auto" w:fill="99FF99"/>
            <w:textDirection w:val="btLr"/>
            <w:vAlign w:val="center"/>
          </w:tcPr>
          <w:p w14:paraId="25232330" w14:textId="77777777" w:rsidR="00B9770A" w:rsidRPr="00B9770A" w:rsidRDefault="00B9770A" w:rsidP="00E53108">
            <w:pPr>
              <w:ind w:left="113" w:right="113"/>
              <w:jc w:val="center"/>
              <w:rPr>
                <w:sz w:val="16"/>
                <w:szCs w:val="16"/>
              </w:rPr>
            </w:pPr>
          </w:p>
        </w:tc>
        <w:tc>
          <w:tcPr>
            <w:tcW w:w="13325" w:type="dxa"/>
            <w:shd w:val="clear" w:color="auto" w:fill="99FF99"/>
            <w:vAlign w:val="center"/>
          </w:tcPr>
          <w:p w14:paraId="25232331" w14:textId="77777777" w:rsidR="00B9770A" w:rsidRPr="00B9770A" w:rsidRDefault="00B9770A" w:rsidP="00E53108">
            <w:pPr>
              <w:rPr>
                <w:sz w:val="16"/>
                <w:szCs w:val="16"/>
              </w:rPr>
            </w:pPr>
            <w:r w:rsidRPr="00B9770A">
              <w:rPr>
                <w:sz w:val="16"/>
                <w:szCs w:val="16"/>
              </w:rPr>
              <w:t xml:space="preserve">An early example of research into brain plasticity, in which evidence is put forward of the impact that the visual environment has on cats’ brains (specifically their visual neurons). Included as a biological study because of its focus on neurons, </w:t>
            </w:r>
            <w:proofErr w:type="gramStart"/>
            <w:r w:rsidRPr="00B9770A">
              <w:rPr>
                <w:sz w:val="16"/>
                <w:szCs w:val="16"/>
              </w:rPr>
              <w:t>and also</w:t>
            </w:r>
            <w:proofErr w:type="gramEnd"/>
            <w:r w:rsidRPr="00B9770A">
              <w:rPr>
                <w:sz w:val="16"/>
                <w:szCs w:val="16"/>
              </w:rPr>
              <w:t xml:space="preserve"> because it opens up the debate about whether biology affects </w:t>
            </w:r>
            <w:proofErr w:type="spellStart"/>
            <w:r w:rsidRPr="00B9770A">
              <w:rPr>
                <w:sz w:val="16"/>
                <w:szCs w:val="16"/>
              </w:rPr>
              <w:t>behaviour</w:t>
            </w:r>
            <w:proofErr w:type="spellEnd"/>
            <w:r w:rsidRPr="00B9770A">
              <w:rPr>
                <w:sz w:val="16"/>
                <w:szCs w:val="16"/>
              </w:rPr>
              <w:t xml:space="preserve"> or whether </w:t>
            </w:r>
            <w:proofErr w:type="spellStart"/>
            <w:r w:rsidRPr="00B9770A">
              <w:rPr>
                <w:sz w:val="16"/>
                <w:szCs w:val="16"/>
              </w:rPr>
              <w:t>behaviour</w:t>
            </w:r>
            <w:proofErr w:type="spellEnd"/>
            <w:r w:rsidRPr="00B9770A">
              <w:rPr>
                <w:sz w:val="16"/>
                <w:szCs w:val="16"/>
              </w:rPr>
              <w:t xml:space="preserve"> might even affect biology.</w:t>
            </w:r>
          </w:p>
        </w:tc>
      </w:tr>
      <w:tr w:rsidR="00B9770A" w:rsidRPr="00B9770A" w14:paraId="25232336" w14:textId="77777777" w:rsidTr="001F7F48">
        <w:trPr>
          <w:trHeight w:val="736"/>
        </w:trPr>
        <w:tc>
          <w:tcPr>
            <w:tcW w:w="1843" w:type="dxa"/>
            <w:shd w:val="clear" w:color="auto" w:fill="99FF99"/>
            <w:vAlign w:val="center"/>
          </w:tcPr>
          <w:p w14:paraId="25232333" w14:textId="77777777" w:rsidR="00B9770A" w:rsidRPr="00B9770A" w:rsidRDefault="00B9770A" w:rsidP="00E53108">
            <w:pPr>
              <w:rPr>
                <w:sz w:val="16"/>
                <w:szCs w:val="16"/>
              </w:rPr>
            </w:pPr>
            <w:r w:rsidRPr="00B9770A">
              <w:rPr>
                <w:sz w:val="16"/>
                <w:szCs w:val="16"/>
              </w:rPr>
              <w:t>Maguire (2000) Taxi drivers</w:t>
            </w:r>
          </w:p>
        </w:tc>
        <w:tc>
          <w:tcPr>
            <w:tcW w:w="567" w:type="dxa"/>
            <w:vMerge/>
            <w:shd w:val="clear" w:color="auto" w:fill="99FF99"/>
            <w:textDirection w:val="btLr"/>
            <w:vAlign w:val="center"/>
          </w:tcPr>
          <w:p w14:paraId="25232334" w14:textId="77777777" w:rsidR="00B9770A" w:rsidRPr="00B9770A" w:rsidRDefault="00B9770A" w:rsidP="00E53108">
            <w:pPr>
              <w:ind w:left="113" w:right="113"/>
              <w:jc w:val="center"/>
              <w:rPr>
                <w:sz w:val="16"/>
                <w:szCs w:val="16"/>
              </w:rPr>
            </w:pPr>
          </w:p>
        </w:tc>
        <w:tc>
          <w:tcPr>
            <w:tcW w:w="13325" w:type="dxa"/>
            <w:shd w:val="clear" w:color="auto" w:fill="99FF99"/>
            <w:vAlign w:val="center"/>
          </w:tcPr>
          <w:p w14:paraId="25232335" w14:textId="77777777" w:rsidR="00B9770A" w:rsidRPr="00B9770A" w:rsidRDefault="00B9770A" w:rsidP="00E53108">
            <w:pPr>
              <w:rPr>
                <w:sz w:val="16"/>
                <w:szCs w:val="16"/>
              </w:rPr>
            </w:pPr>
            <w:r w:rsidRPr="00B9770A">
              <w:rPr>
                <w:sz w:val="16"/>
                <w:szCs w:val="16"/>
              </w:rPr>
              <w:t xml:space="preserve">A modern counterpart to Blakemore and Cooper’s study which again illustrates brain plasticity. This time, though, it illustrates it amongst adult humans (specifically London taxi drivers) in a different part of the brain (the hippocampi). It also uses different techniques (MRI scans) to investigate it. The study also explains brain plasticity, in that the </w:t>
            </w:r>
            <w:proofErr w:type="spellStart"/>
            <w:r w:rsidRPr="00B9770A">
              <w:rPr>
                <w:sz w:val="16"/>
                <w:szCs w:val="16"/>
              </w:rPr>
              <w:t>organisation</w:t>
            </w:r>
            <w:proofErr w:type="spellEnd"/>
            <w:r w:rsidRPr="00B9770A">
              <w:rPr>
                <w:sz w:val="16"/>
                <w:szCs w:val="16"/>
              </w:rPr>
              <w:t xml:space="preserve"> of the brain is altered by experiences.</w:t>
            </w:r>
          </w:p>
        </w:tc>
      </w:tr>
      <w:tr w:rsidR="00B9770A" w:rsidRPr="00B9770A" w14:paraId="2523233A" w14:textId="77777777" w:rsidTr="001F7F48">
        <w:trPr>
          <w:trHeight w:val="736"/>
        </w:trPr>
        <w:tc>
          <w:tcPr>
            <w:tcW w:w="1843" w:type="dxa"/>
            <w:shd w:val="clear" w:color="auto" w:fill="CCCCFF"/>
            <w:vAlign w:val="center"/>
          </w:tcPr>
          <w:p w14:paraId="25232337" w14:textId="77777777" w:rsidR="00B9770A" w:rsidRPr="00B9770A" w:rsidRDefault="00B9770A" w:rsidP="00E53108">
            <w:pPr>
              <w:rPr>
                <w:sz w:val="16"/>
                <w:szCs w:val="16"/>
              </w:rPr>
            </w:pPr>
            <w:r w:rsidRPr="00B9770A">
              <w:rPr>
                <w:sz w:val="16"/>
                <w:szCs w:val="16"/>
              </w:rPr>
              <w:t>Freud (1909) Little Hans</w:t>
            </w:r>
          </w:p>
        </w:tc>
        <w:tc>
          <w:tcPr>
            <w:tcW w:w="567" w:type="dxa"/>
            <w:vMerge w:val="restart"/>
            <w:shd w:val="clear" w:color="auto" w:fill="CCCCFF"/>
            <w:textDirection w:val="btLr"/>
            <w:vAlign w:val="center"/>
          </w:tcPr>
          <w:p w14:paraId="25232338" w14:textId="77777777" w:rsidR="00B9770A" w:rsidRPr="00B9770A" w:rsidRDefault="00B9770A" w:rsidP="00E53108">
            <w:pPr>
              <w:ind w:left="113" w:right="113"/>
              <w:jc w:val="center"/>
              <w:rPr>
                <w:sz w:val="16"/>
                <w:szCs w:val="16"/>
              </w:rPr>
            </w:pPr>
            <w:r w:rsidRPr="00B9770A">
              <w:rPr>
                <w:sz w:val="16"/>
                <w:szCs w:val="16"/>
              </w:rPr>
              <w:t>Individual Differences</w:t>
            </w:r>
          </w:p>
        </w:tc>
        <w:tc>
          <w:tcPr>
            <w:tcW w:w="13325" w:type="dxa"/>
            <w:shd w:val="clear" w:color="auto" w:fill="CCCCFF"/>
            <w:vAlign w:val="center"/>
          </w:tcPr>
          <w:p w14:paraId="25232339" w14:textId="77777777" w:rsidR="00B9770A" w:rsidRPr="00B9770A" w:rsidRDefault="00B9770A" w:rsidP="001F7F48">
            <w:pPr>
              <w:rPr>
                <w:sz w:val="16"/>
                <w:szCs w:val="16"/>
              </w:rPr>
            </w:pPr>
            <w:r w:rsidRPr="00B9770A">
              <w:rPr>
                <w:sz w:val="16"/>
                <w:szCs w:val="16"/>
              </w:rPr>
              <w:t>Individual differences because of its focus on trying to explain a way in which people may differ –</w:t>
            </w:r>
            <w:r w:rsidR="001F7F48">
              <w:rPr>
                <w:sz w:val="16"/>
                <w:szCs w:val="16"/>
              </w:rPr>
              <w:t xml:space="preserve"> </w:t>
            </w:r>
            <w:r w:rsidRPr="00B9770A">
              <w:rPr>
                <w:sz w:val="16"/>
                <w:szCs w:val="16"/>
              </w:rPr>
              <w:t>by having phobias. It does this through the case study of a single boy.</w:t>
            </w:r>
          </w:p>
        </w:tc>
      </w:tr>
      <w:tr w:rsidR="00B9770A" w:rsidRPr="00B9770A" w14:paraId="2523233E" w14:textId="77777777" w:rsidTr="001F7F48">
        <w:trPr>
          <w:trHeight w:val="736"/>
        </w:trPr>
        <w:tc>
          <w:tcPr>
            <w:tcW w:w="1843" w:type="dxa"/>
            <w:shd w:val="clear" w:color="auto" w:fill="CCCCFF"/>
            <w:vAlign w:val="center"/>
          </w:tcPr>
          <w:p w14:paraId="2523233B" w14:textId="77777777" w:rsidR="00B9770A" w:rsidRPr="00B9770A" w:rsidRDefault="00B9770A" w:rsidP="00E53108">
            <w:pPr>
              <w:rPr>
                <w:sz w:val="16"/>
                <w:szCs w:val="16"/>
              </w:rPr>
            </w:pPr>
            <w:r w:rsidRPr="00B9770A">
              <w:rPr>
                <w:sz w:val="16"/>
                <w:szCs w:val="16"/>
              </w:rPr>
              <w:t>Baron-Cohen (1997) Autism in adults</w:t>
            </w:r>
          </w:p>
        </w:tc>
        <w:tc>
          <w:tcPr>
            <w:tcW w:w="567" w:type="dxa"/>
            <w:vMerge/>
            <w:shd w:val="clear" w:color="auto" w:fill="CCCCFF"/>
            <w:textDirection w:val="btLr"/>
            <w:vAlign w:val="center"/>
          </w:tcPr>
          <w:p w14:paraId="2523233C" w14:textId="77777777" w:rsidR="00B9770A" w:rsidRPr="00B9770A" w:rsidRDefault="00B9770A" w:rsidP="00E53108">
            <w:pPr>
              <w:ind w:left="113" w:right="113"/>
              <w:jc w:val="center"/>
              <w:rPr>
                <w:sz w:val="16"/>
                <w:szCs w:val="16"/>
              </w:rPr>
            </w:pPr>
          </w:p>
        </w:tc>
        <w:tc>
          <w:tcPr>
            <w:tcW w:w="13325" w:type="dxa"/>
            <w:shd w:val="clear" w:color="auto" w:fill="CCCCFF"/>
            <w:vAlign w:val="center"/>
          </w:tcPr>
          <w:p w14:paraId="2523233D" w14:textId="77777777" w:rsidR="00B9770A" w:rsidRPr="00B9770A" w:rsidRDefault="00B9770A" w:rsidP="00E53108">
            <w:pPr>
              <w:rPr>
                <w:sz w:val="16"/>
                <w:szCs w:val="16"/>
              </w:rPr>
            </w:pPr>
            <w:r w:rsidRPr="00B9770A">
              <w:rPr>
                <w:sz w:val="16"/>
                <w:szCs w:val="16"/>
              </w:rPr>
              <w:t xml:space="preserve">Again, individual differences because of its focus on trying to understand a way in which people differ – in this case, through being diagnosed as being on the autistic spectrum. A good contrast to Freud because of the different research method used (a </w:t>
            </w:r>
            <w:proofErr w:type="spellStart"/>
            <w:r w:rsidRPr="00B9770A">
              <w:rPr>
                <w:sz w:val="16"/>
                <w:szCs w:val="16"/>
              </w:rPr>
              <w:t>quasi experiment</w:t>
            </w:r>
            <w:proofErr w:type="spellEnd"/>
            <w:r w:rsidRPr="00B9770A">
              <w:rPr>
                <w:sz w:val="16"/>
                <w:szCs w:val="16"/>
              </w:rPr>
              <w:t>) and because of the number and ages of the participants as well as the different disorder.</w:t>
            </w:r>
          </w:p>
        </w:tc>
      </w:tr>
      <w:tr w:rsidR="00B9770A" w:rsidRPr="00B9770A" w14:paraId="25232343" w14:textId="77777777" w:rsidTr="001F7F48">
        <w:trPr>
          <w:trHeight w:val="736"/>
        </w:trPr>
        <w:tc>
          <w:tcPr>
            <w:tcW w:w="1843" w:type="dxa"/>
            <w:shd w:val="clear" w:color="auto" w:fill="CCCCFF"/>
            <w:vAlign w:val="center"/>
          </w:tcPr>
          <w:p w14:paraId="2523233F" w14:textId="77777777" w:rsidR="00B9770A" w:rsidRPr="00B9770A" w:rsidRDefault="00B9770A" w:rsidP="00E53108">
            <w:pPr>
              <w:rPr>
                <w:sz w:val="16"/>
                <w:szCs w:val="16"/>
              </w:rPr>
            </w:pPr>
            <w:bookmarkStart w:id="1" w:name="page_4"/>
            <w:bookmarkEnd w:id="1"/>
            <w:r w:rsidRPr="00B9770A">
              <w:rPr>
                <w:sz w:val="16"/>
                <w:szCs w:val="16"/>
              </w:rPr>
              <w:t>Gould (1982)</w:t>
            </w:r>
          </w:p>
          <w:p w14:paraId="25232340" w14:textId="77777777" w:rsidR="00B9770A" w:rsidRPr="00B9770A" w:rsidRDefault="00B9770A" w:rsidP="00E53108">
            <w:pPr>
              <w:rPr>
                <w:sz w:val="16"/>
                <w:szCs w:val="16"/>
              </w:rPr>
            </w:pPr>
            <w:r w:rsidRPr="00B9770A">
              <w:rPr>
                <w:sz w:val="16"/>
                <w:szCs w:val="16"/>
              </w:rPr>
              <w:t>A Nation of Morons – bias in IQ testing</w:t>
            </w:r>
          </w:p>
        </w:tc>
        <w:tc>
          <w:tcPr>
            <w:tcW w:w="567" w:type="dxa"/>
            <w:vMerge/>
            <w:shd w:val="clear" w:color="auto" w:fill="CCCCFF"/>
            <w:textDirection w:val="btLr"/>
            <w:vAlign w:val="center"/>
          </w:tcPr>
          <w:p w14:paraId="25232341" w14:textId="77777777" w:rsidR="00B9770A" w:rsidRPr="00B9770A" w:rsidRDefault="00B9770A" w:rsidP="00E53108">
            <w:pPr>
              <w:ind w:left="113" w:right="113"/>
              <w:jc w:val="center"/>
              <w:rPr>
                <w:sz w:val="16"/>
                <w:szCs w:val="16"/>
              </w:rPr>
            </w:pPr>
          </w:p>
        </w:tc>
        <w:tc>
          <w:tcPr>
            <w:tcW w:w="13325" w:type="dxa"/>
            <w:shd w:val="clear" w:color="auto" w:fill="CCCCFF"/>
            <w:vAlign w:val="center"/>
          </w:tcPr>
          <w:p w14:paraId="25232342" w14:textId="77777777" w:rsidR="00B9770A" w:rsidRPr="00B9770A" w:rsidRDefault="00B9770A" w:rsidP="001F7F48">
            <w:pPr>
              <w:rPr>
                <w:sz w:val="16"/>
                <w:szCs w:val="16"/>
              </w:rPr>
            </w:pPr>
            <w:r w:rsidRPr="00B9770A">
              <w:rPr>
                <w:sz w:val="16"/>
                <w:szCs w:val="16"/>
              </w:rPr>
              <w:t>Individual differences because of its focus on an attempt to develop a test to measure a way in which people differ –</w:t>
            </w:r>
            <w:r w:rsidR="001F7F48">
              <w:rPr>
                <w:sz w:val="16"/>
                <w:szCs w:val="16"/>
              </w:rPr>
              <w:t xml:space="preserve"> </w:t>
            </w:r>
            <w:r w:rsidRPr="00B9770A">
              <w:rPr>
                <w:sz w:val="16"/>
                <w:szCs w:val="16"/>
              </w:rPr>
              <w:t>in their levels of intelligence. Included for many reasons, but particularly because it shows how difficult it is to avoid cultural bias in supposedly objective measures.</w:t>
            </w:r>
          </w:p>
        </w:tc>
      </w:tr>
      <w:tr w:rsidR="00B9770A" w:rsidRPr="00B9770A" w14:paraId="25232347" w14:textId="77777777" w:rsidTr="001F7F48">
        <w:trPr>
          <w:trHeight w:val="736"/>
        </w:trPr>
        <w:tc>
          <w:tcPr>
            <w:tcW w:w="1843" w:type="dxa"/>
            <w:shd w:val="clear" w:color="auto" w:fill="CCCCFF"/>
            <w:vAlign w:val="center"/>
          </w:tcPr>
          <w:p w14:paraId="25232344" w14:textId="77777777" w:rsidR="00B9770A" w:rsidRPr="00B9770A" w:rsidRDefault="00B9770A" w:rsidP="00E53108">
            <w:pPr>
              <w:rPr>
                <w:sz w:val="16"/>
                <w:szCs w:val="16"/>
              </w:rPr>
            </w:pPr>
            <w:r w:rsidRPr="00B9770A">
              <w:rPr>
                <w:sz w:val="16"/>
                <w:szCs w:val="16"/>
              </w:rPr>
              <w:t>Hancock et al (2011) Language of psychopaths</w:t>
            </w:r>
          </w:p>
        </w:tc>
        <w:tc>
          <w:tcPr>
            <w:tcW w:w="567" w:type="dxa"/>
            <w:vMerge/>
            <w:shd w:val="clear" w:color="auto" w:fill="CCCCFF"/>
            <w:textDirection w:val="btLr"/>
            <w:vAlign w:val="center"/>
          </w:tcPr>
          <w:p w14:paraId="25232345" w14:textId="77777777" w:rsidR="00B9770A" w:rsidRPr="00B9770A" w:rsidRDefault="00B9770A" w:rsidP="00E53108">
            <w:pPr>
              <w:ind w:left="113" w:right="113"/>
              <w:jc w:val="center"/>
              <w:rPr>
                <w:sz w:val="16"/>
                <w:szCs w:val="16"/>
              </w:rPr>
            </w:pPr>
          </w:p>
        </w:tc>
        <w:tc>
          <w:tcPr>
            <w:tcW w:w="13325" w:type="dxa"/>
            <w:shd w:val="clear" w:color="auto" w:fill="CCCCFF"/>
            <w:vAlign w:val="center"/>
          </w:tcPr>
          <w:p w14:paraId="25232346" w14:textId="77777777" w:rsidR="00B9770A" w:rsidRPr="00B9770A" w:rsidRDefault="00B9770A" w:rsidP="00E53108">
            <w:pPr>
              <w:rPr>
                <w:sz w:val="16"/>
                <w:szCs w:val="16"/>
              </w:rPr>
            </w:pPr>
            <w:r w:rsidRPr="00B9770A">
              <w:rPr>
                <w:sz w:val="16"/>
                <w:szCs w:val="16"/>
              </w:rPr>
              <w:t>Individual differences because, again, of its focus on trying to measure differences – in this case, text analysis tools are used to examine the crime narratives of 14 psychopathic and 38 non-psychopathic homicide offenders and the findings demonstrate how the two groups differ.</w:t>
            </w:r>
          </w:p>
        </w:tc>
      </w:tr>
      <w:tr w:rsidR="00B9770A" w:rsidRPr="00B9770A" w14:paraId="2523234B" w14:textId="77777777" w:rsidTr="001F7F48">
        <w:trPr>
          <w:trHeight w:val="736"/>
        </w:trPr>
        <w:tc>
          <w:tcPr>
            <w:tcW w:w="1843" w:type="dxa"/>
            <w:shd w:val="clear" w:color="auto" w:fill="FBD4B4" w:themeFill="accent6" w:themeFillTint="66"/>
            <w:vAlign w:val="center"/>
          </w:tcPr>
          <w:p w14:paraId="25232348" w14:textId="77777777" w:rsidR="00B9770A" w:rsidRPr="00B9770A" w:rsidRDefault="00B9770A" w:rsidP="00E53108">
            <w:pPr>
              <w:rPr>
                <w:sz w:val="16"/>
                <w:szCs w:val="16"/>
              </w:rPr>
            </w:pPr>
            <w:r w:rsidRPr="00B9770A">
              <w:rPr>
                <w:sz w:val="16"/>
                <w:szCs w:val="16"/>
              </w:rPr>
              <w:t>Bandura (1961) Transmission of aggression</w:t>
            </w:r>
          </w:p>
        </w:tc>
        <w:tc>
          <w:tcPr>
            <w:tcW w:w="567" w:type="dxa"/>
            <w:vMerge w:val="restart"/>
            <w:shd w:val="clear" w:color="auto" w:fill="FBD4B4" w:themeFill="accent6" w:themeFillTint="66"/>
            <w:textDirection w:val="btLr"/>
            <w:vAlign w:val="center"/>
          </w:tcPr>
          <w:p w14:paraId="25232349" w14:textId="77777777" w:rsidR="00B9770A" w:rsidRPr="00B9770A" w:rsidRDefault="00B9770A" w:rsidP="00E53108">
            <w:pPr>
              <w:ind w:left="113" w:right="113"/>
              <w:jc w:val="center"/>
              <w:rPr>
                <w:sz w:val="16"/>
                <w:szCs w:val="16"/>
              </w:rPr>
            </w:pPr>
            <w:proofErr w:type="spellStart"/>
            <w:r w:rsidRPr="00B9770A">
              <w:rPr>
                <w:sz w:val="16"/>
                <w:szCs w:val="16"/>
              </w:rPr>
              <w:t>Behaviourist</w:t>
            </w:r>
            <w:proofErr w:type="spellEnd"/>
          </w:p>
        </w:tc>
        <w:tc>
          <w:tcPr>
            <w:tcW w:w="13325" w:type="dxa"/>
            <w:shd w:val="clear" w:color="auto" w:fill="FBD4B4" w:themeFill="accent6" w:themeFillTint="66"/>
            <w:vAlign w:val="center"/>
          </w:tcPr>
          <w:p w14:paraId="2523234A" w14:textId="77777777" w:rsidR="00B9770A" w:rsidRPr="00B9770A" w:rsidRDefault="00B9770A" w:rsidP="00E53108">
            <w:pPr>
              <w:rPr>
                <w:sz w:val="16"/>
                <w:szCs w:val="16"/>
              </w:rPr>
            </w:pPr>
            <w:proofErr w:type="spellStart"/>
            <w:r w:rsidRPr="00B9770A">
              <w:rPr>
                <w:sz w:val="16"/>
                <w:szCs w:val="16"/>
              </w:rPr>
              <w:t>Behaviourist</w:t>
            </w:r>
            <w:proofErr w:type="spellEnd"/>
            <w:r w:rsidRPr="00B9770A">
              <w:rPr>
                <w:sz w:val="16"/>
                <w:szCs w:val="16"/>
              </w:rPr>
              <w:t xml:space="preserve"> because of the way it provides empirical support for social learning theory. This is shown through children imitating the aggressive </w:t>
            </w:r>
            <w:proofErr w:type="spellStart"/>
            <w:r w:rsidRPr="00B9770A">
              <w:rPr>
                <w:sz w:val="16"/>
                <w:szCs w:val="16"/>
              </w:rPr>
              <w:t>behaviour</w:t>
            </w:r>
            <w:proofErr w:type="spellEnd"/>
            <w:r w:rsidRPr="00B9770A">
              <w:rPr>
                <w:sz w:val="16"/>
                <w:szCs w:val="16"/>
              </w:rPr>
              <w:t xml:space="preserve"> of the role models that they observe.</w:t>
            </w:r>
          </w:p>
        </w:tc>
      </w:tr>
      <w:tr w:rsidR="00B9770A" w:rsidRPr="00B9770A" w14:paraId="2523234F" w14:textId="77777777" w:rsidTr="001F7F48">
        <w:trPr>
          <w:trHeight w:val="736"/>
        </w:trPr>
        <w:tc>
          <w:tcPr>
            <w:tcW w:w="1843" w:type="dxa"/>
            <w:shd w:val="clear" w:color="auto" w:fill="FBD4B4" w:themeFill="accent6" w:themeFillTint="66"/>
            <w:vAlign w:val="center"/>
          </w:tcPr>
          <w:p w14:paraId="2523234C" w14:textId="77777777" w:rsidR="00B9770A" w:rsidRPr="00B9770A" w:rsidRDefault="00B9770A" w:rsidP="00E53108">
            <w:pPr>
              <w:rPr>
                <w:sz w:val="16"/>
                <w:szCs w:val="16"/>
              </w:rPr>
            </w:pPr>
            <w:r w:rsidRPr="00B9770A">
              <w:rPr>
                <w:sz w:val="16"/>
                <w:szCs w:val="16"/>
              </w:rPr>
              <w:t xml:space="preserve">Chaney et al (2004) </w:t>
            </w:r>
            <w:proofErr w:type="spellStart"/>
            <w:r w:rsidRPr="00B9770A">
              <w:rPr>
                <w:sz w:val="16"/>
                <w:szCs w:val="16"/>
              </w:rPr>
              <w:t>Funhaler</w:t>
            </w:r>
            <w:proofErr w:type="spellEnd"/>
            <w:r w:rsidRPr="00B9770A">
              <w:rPr>
                <w:sz w:val="16"/>
                <w:szCs w:val="16"/>
              </w:rPr>
              <w:t xml:space="preserve"> study</w:t>
            </w:r>
          </w:p>
        </w:tc>
        <w:tc>
          <w:tcPr>
            <w:tcW w:w="567" w:type="dxa"/>
            <w:vMerge/>
            <w:shd w:val="clear" w:color="auto" w:fill="FBD4B4" w:themeFill="accent6" w:themeFillTint="66"/>
            <w:textDirection w:val="btLr"/>
            <w:vAlign w:val="center"/>
          </w:tcPr>
          <w:p w14:paraId="2523234D" w14:textId="77777777" w:rsidR="00B9770A" w:rsidRPr="00B9770A" w:rsidRDefault="00B9770A" w:rsidP="00E53108">
            <w:pPr>
              <w:ind w:left="113" w:right="113"/>
              <w:jc w:val="center"/>
              <w:rPr>
                <w:sz w:val="16"/>
                <w:szCs w:val="16"/>
              </w:rPr>
            </w:pPr>
          </w:p>
        </w:tc>
        <w:tc>
          <w:tcPr>
            <w:tcW w:w="13325" w:type="dxa"/>
            <w:shd w:val="clear" w:color="auto" w:fill="FBD4B4" w:themeFill="accent6" w:themeFillTint="66"/>
            <w:vAlign w:val="center"/>
          </w:tcPr>
          <w:p w14:paraId="2523234E" w14:textId="77777777" w:rsidR="00B9770A" w:rsidRPr="00B9770A" w:rsidRDefault="00B9770A" w:rsidP="00E53108">
            <w:pPr>
              <w:rPr>
                <w:sz w:val="16"/>
                <w:szCs w:val="16"/>
              </w:rPr>
            </w:pPr>
            <w:proofErr w:type="spellStart"/>
            <w:r w:rsidRPr="00B9770A">
              <w:rPr>
                <w:sz w:val="16"/>
                <w:szCs w:val="16"/>
              </w:rPr>
              <w:t>Behaviourist</w:t>
            </w:r>
            <w:proofErr w:type="spellEnd"/>
            <w:r w:rsidRPr="00B9770A">
              <w:rPr>
                <w:sz w:val="16"/>
                <w:szCs w:val="16"/>
              </w:rPr>
              <w:t xml:space="preserve"> because of the way it provides empirical support for operant conditioning (both positive and negative reinforcement). Results found increased adherence, due to the positive reinforcement provided by the </w:t>
            </w:r>
            <w:proofErr w:type="spellStart"/>
            <w:r w:rsidRPr="00B9770A">
              <w:rPr>
                <w:sz w:val="16"/>
                <w:szCs w:val="16"/>
              </w:rPr>
              <w:t>funhaler</w:t>
            </w:r>
            <w:proofErr w:type="spellEnd"/>
            <w:r w:rsidRPr="00B9770A">
              <w:rPr>
                <w:sz w:val="16"/>
                <w:szCs w:val="16"/>
              </w:rPr>
              <w:t>.</w:t>
            </w:r>
          </w:p>
        </w:tc>
      </w:tr>
      <w:tr w:rsidR="00B9770A" w:rsidRPr="00B9770A" w14:paraId="25232353" w14:textId="77777777" w:rsidTr="001F7F48">
        <w:trPr>
          <w:trHeight w:val="736"/>
        </w:trPr>
        <w:tc>
          <w:tcPr>
            <w:tcW w:w="1843" w:type="dxa"/>
            <w:shd w:val="clear" w:color="auto" w:fill="99FF99"/>
            <w:vAlign w:val="center"/>
          </w:tcPr>
          <w:p w14:paraId="25232350" w14:textId="77777777" w:rsidR="00B9770A" w:rsidRPr="00B9770A" w:rsidRDefault="00B9770A" w:rsidP="00E53108">
            <w:pPr>
              <w:rPr>
                <w:sz w:val="16"/>
                <w:szCs w:val="16"/>
              </w:rPr>
            </w:pPr>
            <w:r w:rsidRPr="00B9770A">
              <w:rPr>
                <w:sz w:val="16"/>
                <w:szCs w:val="16"/>
              </w:rPr>
              <w:t>Freud (1909) Little Hans</w:t>
            </w:r>
          </w:p>
        </w:tc>
        <w:tc>
          <w:tcPr>
            <w:tcW w:w="567" w:type="dxa"/>
            <w:vMerge w:val="restart"/>
            <w:shd w:val="clear" w:color="auto" w:fill="99FF99"/>
            <w:textDirection w:val="btLr"/>
            <w:vAlign w:val="center"/>
          </w:tcPr>
          <w:p w14:paraId="25232351" w14:textId="77777777" w:rsidR="00B9770A" w:rsidRPr="00B9770A" w:rsidRDefault="00B9770A" w:rsidP="00E53108">
            <w:pPr>
              <w:ind w:left="113" w:right="113"/>
              <w:jc w:val="center"/>
              <w:rPr>
                <w:sz w:val="16"/>
                <w:szCs w:val="16"/>
              </w:rPr>
            </w:pPr>
            <w:r w:rsidRPr="00B9770A">
              <w:rPr>
                <w:sz w:val="16"/>
                <w:szCs w:val="16"/>
              </w:rPr>
              <w:t>Psychodynamic</w:t>
            </w:r>
          </w:p>
        </w:tc>
        <w:tc>
          <w:tcPr>
            <w:tcW w:w="13325" w:type="dxa"/>
            <w:shd w:val="clear" w:color="auto" w:fill="99FF99"/>
            <w:vAlign w:val="center"/>
          </w:tcPr>
          <w:p w14:paraId="25232352" w14:textId="77777777" w:rsidR="00B9770A" w:rsidRPr="00B9770A" w:rsidRDefault="00B9770A" w:rsidP="00E53108">
            <w:pPr>
              <w:rPr>
                <w:sz w:val="16"/>
                <w:szCs w:val="16"/>
              </w:rPr>
            </w:pPr>
            <w:r w:rsidRPr="00B9770A">
              <w:rPr>
                <w:sz w:val="16"/>
                <w:szCs w:val="16"/>
              </w:rPr>
              <w:t>Psychodynamic because of the way in which Freud’s theory of psychosexual development (especially the Oedipus complex) is drawn upon to explain little Hans’ phobias and fantasies.</w:t>
            </w:r>
          </w:p>
        </w:tc>
      </w:tr>
      <w:tr w:rsidR="00B9770A" w:rsidRPr="00B9770A" w14:paraId="25232358" w14:textId="77777777" w:rsidTr="001F7F48">
        <w:trPr>
          <w:trHeight w:val="736"/>
        </w:trPr>
        <w:tc>
          <w:tcPr>
            <w:tcW w:w="1843" w:type="dxa"/>
            <w:shd w:val="clear" w:color="auto" w:fill="99FF99"/>
            <w:vAlign w:val="center"/>
          </w:tcPr>
          <w:p w14:paraId="25232354" w14:textId="77777777" w:rsidR="00B9770A" w:rsidRPr="00B9770A" w:rsidRDefault="00B9770A" w:rsidP="00E53108">
            <w:pPr>
              <w:rPr>
                <w:sz w:val="16"/>
                <w:szCs w:val="16"/>
              </w:rPr>
            </w:pPr>
            <w:r w:rsidRPr="00B9770A">
              <w:rPr>
                <w:sz w:val="16"/>
                <w:szCs w:val="16"/>
              </w:rPr>
              <w:t>Kohlberg (1968)</w:t>
            </w:r>
          </w:p>
          <w:p w14:paraId="25232355" w14:textId="77777777" w:rsidR="00B9770A" w:rsidRPr="00B9770A" w:rsidRDefault="00B9770A" w:rsidP="00E53108">
            <w:pPr>
              <w:rPr>
                <w:sz w:val="16"/>
                <w:szCs w:val="16"/>
              </w:rPr>
            </w:pPr>
            <w:r w:rsidRPr="00B9770A">
              <w:rPr>
                <w:sz w:val="16"/>
                <w:szCs w:val="16"/>
              </w:rPr>
              <w:t>Stages of moral development</w:t>
            </w:r>
          </w:p>
        </w:tc>
        <w:tc>
          <w:tcPr>
            <w:tcW w:w="567" w:type="dxa"/>
            <w:vMerge/>
            <w:shd w:val="clear" w:color="auto" w:fill="99FF99"/>
            <w:vAlign w:val="center"/>
          </w:tcPr>
          <w:p w14:paraId="25232356" w14:textId="77777777" w:rsidR="00B9770A" w:rsidRPr="00B9770A" w:rsidRDefault="00B9770A" w:rsidP="00E53108">
            <w:pPr>
              <w:jc w:val="center"/>
              <w:rPr>
                <w:sz w:val="16"/>
                <w:szCs w:val="16"/>
              </w:rPr>
            </w:pPr>
          </w:p>
        </w:tc>
        <w:tc>
          <w:tcPr>
            <w:tcW w:w="13325" w:type="dxa"/>
            <w:shd w:val="clear" w:color="auto" w:fill="99FF99"/>
            <w:vAlign w:val="center"/>
          </w:tcPr>
          <w:p w14:paraId="25232357" w14:textId="77777777" w:rsidR="00B9770A" w:rsidRPr="00B9770A" w:rsidRDefault="00B9770A" w:rsidP="00E53108">
            <w:pPr>
              <w:rPr>
                <w:sz w:val="16"/>
                <w:szCs w:val="16"/>
              </w:rPr>
            </w:pPr>
            <w:r w:rsidRPr="00B9770A">
              <w:rPr>
                <w:sz w:val="16"/>
                <w:szCs w:val="16"/>
              </w:rPr>
              <w:t xml:space="preserve">Kohlberg’s study is not psychodynamic, but within his paper he explicitly positions his own work against Freudian views of the origins of virtue (as “…superego-identification with parents generated by a proper balance of love and authority in family relations”). Psychodynamic theories about moral development could be drawn out further </w:t>
            </w:r>
            <w:proofErr w:type="gramStart"/>
            <w:r w:rsidRPr="00B9770A">
              <w:rPr>
                <w:sz w:val="16"/>
                <w:szCs w:val="16"/>
              </w:rPr>
              <w:t>in the course of</w:t>
            </w:r>
            <w:proofErr w:type="gramEnd"/>
            <w:r w:rsidRPr="00B9770A">
              <w:rPr>
                <w:sz w:val="16"/>
                <w:szCs w:val="16"/>
              </w:rPr>
              <w:t xml:space="preserve"> exploring Kohlberg’s work.</w:t>
            </w:r>
          </w:p>
        </w:tc>
      </w:tr>
      <w:tr w:rsidR="00B9770A" w:rsidRPr="00B9770A" w14:paraId="2523235C" w14:textId="77777777" w:rsidTr="001F7F48">
        <w:trPr>
          <w:trHeight w:val="736"/>
        </w:trPr>
        <w:tc>
          <w:tcPr>
            <w:tcW w:w="1843" w:type="dxa"/>
            <w:shd w:val="clear" w:color="auto" w:fill="99FF99"/>
            <w:vAlign w:val="center"/>
          </w:tcPr>
          <w:p w14:paraId="25232359" w14:textId="77777777" w:rsidR="00B9770A" w:rsidRPr="00B9770A" w:rsidRDefault="00B9770A" w:rsidP="00E53108">
            <w:pPr>
              <w:rPr>
                <w:sz w:val="16"/>
                <w:szCs w:val="16"/>
              </w:rPr>
            </w:pPr>
            <w:r w:rsidRPr="00B9770A">
              <w:rPr>
                <w:sz w:val="16"/>
                <w:szCs w:val="16"/>
              </w:rPr>
              <w:t>Hancock et al (2011) Language of psychopaths</w:t>
            </w:r>
          </w:p>
        </w:tc>
        <w:tc>
          <w:tcPr>
            <w:tcW w:w="567" w:type="dxa"/>
            <w:vMerge/>
            <w:shd w:val="clear" w:color="auto" w:fill="99FF99"/>
            <w:vAlign w:val="center"/>
          </w:tcPr>
          <w:p w14:paraId="2523235A" w14:textId="77777777" w:rsidR="00B9770A" w:rsidRPr="00B9770A" w:rsidRDefault="00B9770A" w:rsidP="00E53108">
            <w:pPr>
              <w:jc w:val="center"/>
              <w:rPr>
                <w:sz w:val="16"/>
                <w:szCs w:val="16"/>
              </w:rPr>
            </w:pPr>
          </w:p>
        </w:tc>
        <w:tc>
          <w:tcPr>
            <w:tcW w:w="13325" w:type="dxa"/>
            <w:shd w:val="clear" w:color="auto" w:fill="99FF99"/>
            <w:vAlign w:val="center"/>
          </w:tcPr>
          <w:p w14:paraId="2523235B" w14:textId="77777777" w:rsidR="00B9770A" w:rsidRPr="00B9770A" w:rsidRDefault="00B9770A" w:rsidP="00E53108">
            <w:pPr>
              <w:rPr>
                <w:sz w:val="16"/>
                <w:szCs w:val="16"/>
              </w:rPr>
            </w:pPr>
            <w:r w:rsidRPr="00B9770A">
              <w:rPr>
                <w:sz w:val="16"/>
                <w:szCs w:val="16"/>
              </w:rPr>
              <w:t xml:space="preserve">Similarly, Hancock et </w:t>
            </w:r>
            <w:proofErr w:type="spellStart"/>
            <w:r w:rsidRPr="00B9770A">
              <w:rPr>
                <w:sz w:val="16"/>
                <w:szCs w:val="16"/>
              </w:rPr>
              <w:t>al’s</w:t>
            </w:r>
            <w:proofErr w:type="spellEnd"/>
            <w:r w:rsidRPr="00B9770A">
              <w:rPr>
                <w:sz w:val="16"/>
                <w:szCs w:val="16"/>
              </w:rPr>
              <w:t xml:space="preserve"> study is not in itself psychodynamic, but it makes repeated references to concepts that draw upon psychodynamic ideas throughout the course of the paper – namely, ego development, use of</w:t>
            </w:r>
            <w:r>
              <w:rPr>
                <w:sz w:val="16"/>
                <w:szCs w:val="16"/>
              </w:rPr>
              <w:t xml:space="preserve"> </w:t>
            </w:r>
            <w:r w:rsidRPr="00B9770A">
              <w:rPr>
                <w:sz w:val="16"/>
                <w:szCs w:val="16"/>
              </w:rPr>
              <w:t xml:space="preserve">a Rorschach test, psychological ‘distancing’, basic and thrill-seeking drives, and language use being </w:t>
            </w:r>
            <w:proofErr w:type="gramStart"/>
            <w:r w:rsidRPr="00B9770A">
              <w:rPr>
                <w:sz w:val="16"/>
                <w:szCs w:val="16"/>
              </w:rPr>
              <w:t>in all likelihood</w:t>
            </w:r>
            <w:proofErr w:type="gramEnd"/>
            <w:r w:rsidRPr="00B9770A">
              <w:rPr>
                <w:sz w:val="16"/>
                <w:szCs w:val="16"/>
              </w:rPr>
              <w:t xml:space="preserve"> beyond conscious control. Again, these ideas could be drawn out and explicitly related to the psychodynamic perspective.</w:t>
            </w:r>
          </w:p>
        </w:tc>
      </w:tr>
    </w:tbl>
    <w:p w14:paraId="2523235D" w14:textId="77777777" w:rsidR="00B9770A" w:rsidRPr="00B9770A" w:rsidRDefault="00B9770A" w:rsidP="001F7F48"/>
    <w:sectPr w:rsidR="00B9770A" w:rsidRPr="00B9770A" w:rsidSect="00B9770A">
      <w:headerReference w:type="default" r:id="rId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32360" w14:textId="77777777" w:rsidR="00B516F2" w:rsidRDefault="00B516F2" w:rsidP="00B9770A">
      <w:r>
        <w:separator/>
      </w:r>
    </w:p>
  </w:endnote>
  <w:endnote w:type="continuationSeparator" w:id="0">
    <w:p w14:paraId="25232361" w14:textId="77777777" w:rsidR="00B516F2" w:rsidRDefault="00B516F2" w:rsidP="00B9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2363" w14:textId="77777777" w:rsidR="00B4351A" w:rsidRDefault="00FB79E4">
    <w:pPr>
      <w:pStyle w:val="BodyText"/>
      <w:spacing w:line="14" w:lineRule="auto"/>
    </w:pPr>
    <w:r>
      <w:pict w14:anchorId="25232364">
        <v:shapetype id="_x0000_t202" coordsize="21600,21600" o:spt="202" path="m,l,21600r21600,l21600,xe">
          <v:stroke joinstyle="miter"/>
          <v:path gradientshapeok="t" o:connecttype="rect"/>
        </v:shapetype>
        <v:shape id="_x0000_s2052" type="#_x0000_t202" style="position:absolute;margin-left:293.05pt;margin-top:817.8pt;width:9.15pt;height:12pt;z-index:-251658752;mso-position-horizontal-relative:page;mso-position-vertical-relative:page" filled="f" stroked="f">
          <v:textbox inset="0,0,0,0">
            <w:txbxContent>
              <w:p w14:paraId="25232365" w14:textId="77777777" w:rsidR="00B4351A" w:rsidRDefault="00B516F2">
                <w:pPr>
                  <w:pStyle w:val="BodyText"/>
                  <w:spacing w:line="232" w:lineRule="exact"/>
                  <w:ind w:left="40"/>
                  <w:rPr>
                    <w:rFonts w:ascii="Calibri"/>
                  </w:rPr>
                </w:pPr>
                <w:r>
                  <w:fldChar w:fldCharType="begin"/>
                </w:r>
                <w:r>
                  <w:rPr>
                    <w:rFonts w:ascii="Calibri"/>
                    <w:color w:val="FFFFFF"/>
                    <w:w w:val="101"/>
                  </w:rPr>
                  <w:instrText xml:space="preserve"> PAGE </w:instrText>
                </w:r>
                <w:r>
                  <w:fldChar w:fldCharType="separate"/>
                </w:r>
                <w:r w:rsidR="001F7F48">
                  <w:rPr>
                    <w:rFonts w:ascii="Calibri"/>
                    <w:noProof/>
                    <w:color w:val="FFFFFF"/>
                    <w:w w:val="101"/>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3235E" w14:textId="77777777" w:rsidR="00B516F2" w:rsidRDefault="00B516F2" w:rsidP="00B9770A">
      <w:r>
        <w:separator/>
      </w:r>
    </w:p>
  </w:footnote>
  <w:footnote w:type="continuationSeparator" w:id="0">
    <w:p w14:paraId="2523235F" w14:textId="77777777" w:rsidR="00B516F2" w:rsidRDefault="00B516F2" w:rsidP="00B9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2362" w14:textId="77777777" w:rsidR="00B4351A" w:rsidRPr="00B9770A" w:rsidRDefault="00B9770A" w:rsidP="00B9770A">
    <w:pPr>
      <w:jc w:val="center"/>
      <w:rPr>
        <w:sz w:val="40"/>
      </w:rPr>
    </w:pPr>
    <w:r w:rsidRPr="00B9770A">
      <w:rPr>
        <w:sz w:val="40"/>
      </w:rPr>
      <w:t>Linking the Core Studies to the Areas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70A"/>
    <w:rsid w:val="00191DB9"/>
    <w:rsid w:val="001F1F2B"/>
    <w:rsid w:val="001F7F48"/>
    <w:rsid w:val="00212F55"/>
    <w:rsid w:val="00621C84"/>
    <w:rsid w:val="00B516F2"/>
    <w:rsid w:val="00B9770A"/>
    <w:rsid w:val="00E53108"/>
    <w:rsid w:val="00FB79E4"/>
    <w:rsid w:val="00FC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52322EB"/>
  <w15:docId w15:val="{7720AA21-B872-42A5-B8B1-A0DF9F4B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770A"/>
    <w:pPr>
      <w:widowControl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B9770A"/>
    <w:pPr>
      <w:spacing w:line="469" w:lineRule="exact"/>
      <w:ind w:left="125"/>
      <w:outlineLvl w:val="0"/>
    </w:pPr>
    <w:rPr>
      <w:rFonts w:ascii="Calibri" w:eastAsia="Calibri" w:hAnsi="Calibri" w:cs="Calibri"/>
      <w:sz w:val="44"/>
      <w:szCs w:val="44"/>
    </w:rPr>
  </w:style>
  <w:style w:type="paragraph" w:styleId="Heading2">
    <w:name w:val="heading 2"/>
    <w:basedOn w:val="Normal"/>
    <w:link w:val="Heading2Char"/>
    <w:uiPriority w:val="1"/>
    <w:qFormat/>
    <w:rsid w:val="00B9770A"/>
    <w:pPr>
      <w:spacing w:before="60"/>
      <w:ind w:left="125"/>
      <w:outlineLvl w:val="1"/>
    </w:pPr>
    <w:rPr>
      <w:rFonts w:ascii="Calibri" w:eastAsia="Calibri" w:hAnsi="Calibri" w:cs="Calibr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70A"/>
    <w:rPr>
      <w:rFonts w:ascii="Calibri" w:eastAsia="Calibri" w:hAnsi="Calibri" w:cs="Calibri"/>
      <w:sz w:val="44"/>
      <w:szCs w:val="44"/>
      <w:lang w:val="en-US"/>
    </w:rPr>
  </w:style>
  <w:style w:type="character" w:customStyle="1" w:styleId="Heading2Char">
    <w:name w:val="Heading 2 Char"/>
    <w:basedOn w:val="DefaultParagraphFont"/>
    <w:link w:val="Heading2"/>
    <w:uiPriority w:val="1"/>
    <w:rsid w:val="00B9770A"/>
    <w:rPr>
      <w:rFonts w:ascii="Calibri" w:eastAsia="Calibri" w:hAnsi="Calibri" w:cs="Calibri"/>
      <w:sz w:val="32"/>
      <w:szCs w:val="32"/>
      <w:lang w:val="en-US"/>
    </w:rPr>
  </w:style>
  <w:style w:type="paragraph" w:styleId="BodyText">
    <w:name w:val="Body Text"/>
    <w:basedOn w:val="Normal"/>
    <w:link w:val="BodyTextChar"/>
    <w:uiPriority w:val="1"/>
    <w:qFormat/>
    <w:rsid w:val="00B9770A"/>
    <w:rPr>
      <w:sz w:val="20"/>
      <w:szCs w:val="20"/>
    </w:rPr>
  </w:style>
  <w:style w:type="character" w:customStyle="1" w:styleId="BodyTextChar">
    <w:name w:val="Body Text Char"/>
    <w:basedOn w:val="DefaultParagraphFont"/>
    <w:link w:val="BodyText"/>
    <w:uiPriority w:val="1"/>
    <w:rsid w:val="00B9770A"/>
    <w:rPr>
      <w:rFonts w:ascii="Arial" w:eastAsia="Arial" w:hAnsi="Arial" w:cs="Arial"/>
      <w:sz w:val="20"/>
      <w:szCs w:val="20"/>
      <w:lang w:val="en-US"/>
    </w:rPr>
  </w:style>
  <w:style w:type="paragraph" w:styleId="ListParagraph">
    <w:name w:val="List Paragraph"/>
    <w:basedOn w:val="Normal"/>
    <w:uiPriority w:val="1"/>
    <w:qFormat/>
    <w:rsid w:val="00B9770A"/>
  </w:style>
  <w:style w:type="paragraph" w:customStyle="1" w:styleId="TableParagraph">
    <w:name w:val="Table Paragraph"/>
    <w:basedOn w:val="Normal"/>
    <w:uiPriority w:val="1"/>
    <w:qFormat/>
    <w:rsid w:val="00B9770A"/>
    <w:pPr>
      <w:spacing w:before="32"/>
      <w:ind w:left="70" w:right="872"/>
    </w:pPr>
  </w:style>
  <w:style w:type="paragraph" w:styleId="Header">
    <w:name w:val="header"/>
    <w:basedOn w:val="Normal"/>
    <w:link w:val="HeaderChar"/>
    <w:uiPriority w:val="99"/>
    <w:unhideWhenUsed/>
    <w:rsid w:val="00B9770A"/>
    <w:pPr>
      <w:tabs>
        <w:tab w:val="center" w:pos="4513"/>
        <w:tab w:val="right" w:pos="9026"/>
      </w:tabs>
    </w:pPr>
  </w:style>
  <w:style w:type="character" w:customStyle="1" w:styleId="HeaderChar">
    <w:name w:val="Header Char"/>
    <w:basedOn w:val="DefaultParagraphFont"/>
    <w:link w:val="Header"/>
    <w:uiPriority w:val="99"/>
    <w:rsid w:val="00B9770A"/>
    <w:rPr>
      <w:rFonts w:ascii="Arial" w:eastAsia="Arial" w:hAnsi="Arial" w:cs="Arial"/>
      <w:lang w:val="en-US"/>
    </w:rPr>
  </w:style>
  <w:style w:type="paragraph" w:styleId="Footer">
    <w:name w:val="footer"/>
    <w:basedOn w:val="Normal"/>
    <w:link w:val="FooterChar"/>
    <w:uiPriority w:val="99"/>
    <w:unhideWhenUsed/>
    <w:rsid w:val="00B9770A"/>
    <w:pPr>
      <w:tabs>
        <w:tab w:val="center" w:pos="4513"/>
        <w:tab w:val="right" w:pos="9026"/>
      </w:tabs>
    </w:pPr>
  </w:style>
  <w:style w:type="character" w:customStyle="1" w:styleId="FooterChar">
    <w:name w:val="Footer Char"/>
    <w:basedOn w:val="DefaultParagraphFont"/>
    <w:link w:val="Footer"/>
    <w:uiPriority w:val="99"/>
    <w:rsid w:val="00B9770A"/>
    <w:rPr>
      <w:rFonts w:ascii="Arial" w:eastAsia="Arial" w:hAnsi="Arial" w:cs="Arial"/>
      <w:lang w:val="en-US"/>
    </w:rPr>
  </w:style>
  <w:style w:type="table" w:styleId="TableGrid">
    <w:name w:val="Table Grid"/>
    <w:basedOn w:val="TableNormal"/>
    <w:uiPriority w:val="59"/>
    <w:rsid w:val="001F1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F48"/>
    <w:rPr>
      <w:rFonts w:ascii="Tahoma" w:hAnsi="Tahoma" w:cs="Tahoma"/>
      <w:sz w:val="16"/>
      <w:szCs w:val="16"/>
    </w:rPr>
  </w:style>
  <w:style w:type="character" w:customStyle="1" w:styleId="BalloonTextChar">
    <w:name w:val="Balloon Text Char"/>
    <w:basedOn w:val="DefaultParagraphFont"/>
    <w:link w:val="BalloonText"/>
    <w:uiPriority w:val="99"/>
    <w:semiHidden/>
    <w:rsid w:val="001F7F48"/>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dc:creator>
  <cp:lastModifiedBy>Evagora V (Staff)</cp:lastModifiedBy>
  <cp:revision>4</cp:revision>
  <cp:lastPrinted>2017-01-26T21:08:00Z</cp:lastPrinted>
  <dcterms:created xsi:type="dcterms:W3CDTF">2017-01-26T21:14:00Z</dcterms:created>
  <dcterms:modified xsi:type="dcterms:W3CDTF">2021-01-22T05:24:00Z</dcterms:modified>
</cp:coreProperties>
</file>